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463EE" w14:textId="77777777" w:rsidR="006F680F" w:rsidRPr="00090912" w:rsidRDefault="006F680F" w:rsidP="00191C9B">
      <w:pPr>
        <w:rPr>
          <w:rFonts w:ascii="Arial" w:hAnsi="Arial" w:cs="Arial"/>
          <w:b/>
          <w:sz w:val="20"/>
          <w:szCs w:val="20"/>
        </w:rPr>
      </w:pPr>
    </w:p>
    <w:p w14:paraId="60EAAFC9" w14:textId="04FC1469" w:rsidR="005C56BE" w:rsidRDefault="005C56BE" w:rsidP="005C56BE">
      <w:pPr>
        <w:pStyle w:val="Textoindependiente"/>
        <w:jc w:val="center"/>
        <w:rPr>
          <w:rFonts w:ascii="Tahoma" w:hAnsi="Tahoma" w:cs="Tahoma"/>
          <w:bCs/>
          <w:iCs/>
          <w:sz w:val="20"/>
          <w:lang w:val="es-ES"/>
        </w:rPr>
      </w:pPr>
      <w:r w:rsidRPr="005C56BE">
        <w:rPr>
          <w:rFonts w:ascii="Tahoma" w:hAnsi="Tahoma" w:cs="Tahoma"/>
          <w:b/>
          <w:bCs/>
          <w:iCs/>
          <w:sz w:val="20"/>
        </w:rPr>
        <w:t xml:space="preserve">RESOLUCIÓN </w:t>
      </w:r>
      <w:proofErr w:type="spellStart"/>
      <w:r w:rsidRPr="005C56BE">
        <w:rPr>
          <w:rFonts w:ascii="Tahoma" w:hAnsi="Tahoma" w:cs="Tahoma"/>
          <w:b/>
          <w:bCs/>
          <w:iCs/>
          <w:sz w:val="20"/>
        </w:rPr>
        <w:t>N°</w:t>
      </w:r>
      <w:proofErr w:type="spellEnd"/>
      <w:r w:rsidRPr="005C56BE">
        <w:rPr>
          <w:rFonts w:ascii="Tahoma" w:hAnsi="Tahoma" w:cs="Tahoma"/>
          <w:b/>
          <w:bCs/>
          <w:iCs/>
          <w:sz w:val="20"/>
        </w:rPr>
        <w:t xml:space="preserve"> _______________ DE 2025</w:t>
      </w:r>
    </w:p>
    <w:p w14:paraId="46BCEC58" w14:textId="77777777" w:rsidR="005C56BE" w:rsidRDefault="005C56BE" w:rsidP="005C56BE">
      <w:pPr>
        <w:pStyle w:val="Textoindependiente"/>
        <w:jc w:val="center"/>
        <w:rPr>
          <w:rFonts w:ascii="Tahoma" w:hAnsi="Tahoma" w:cs="Tahoma"/>
          <w:bCs/>
          <w:iCs/>
          <w:sz w:val="20"/>
          <w:lang w:val="es-ES"/>
        </w:rPr>
      </w:pPr>
    </w:p>
    <w:p w14:paraId="6A20C104" w14:textId="77777777" w:rsidR="005C56BE" w:rsidRDefault="005C56BE" w:rsidP="005C56BE">
      <w:pPr>
        <w:pStyle w:val="Textoindependiente"/>
        <w:jc w:val="center"/>
        <w:rPr>
          <w:rFonts w:ascii="Tahoma" w:hAnsi="Tahoma" w:cs="Tahoma"/>
          <w:bCs/>
          <w:iCs/>
          <w:sz w:val="20"/>
          <w:lang w:val="es-ES"/>
        </w:rPr>
      </w:pPr>
    </w:p>
    <w:p w14:paraId="4B54FF98" w14:textId="58C3C9C7" w:rsidR="005C56BE" w:rsidRPr="005C56BE" w:rsidRDefault="005C56BE" w:rsidP="005C56BE">
      <w:pPr>
        <w:pStyle w:val="Textoindependiente"/>
        <w:jc w:val="center"/>
        <w:rPr>
          <w:rFonts w:ascii="Tahoma" w:hAnsi="Tahoma" w:cs="Tahoma"/>
          <w:bCs/>
          <w:iCs/>
          <w:sz w:val="20"/>
          <w:lang w:val="es-ES"/>
        </w:rPr>
      </w:pPr>
      <w:r w:rsidRPr="005C56BE">
        <w:rPr>
          <w:rFonts w:ascii="Tahoma" w:hAnsi="Tahoma" w:cs="Tahoma"/>
          <w:bCs/>
          <w:iCs/>
          <w:sz w:val="20"/>
          <w:lang w:val="es-ES"/>
        </w:rPr>
        <w:t>“Por la cual se establecen directrices para las Direcciones Locales de Educación y Equipos Locales de Inspección y Vigilancia, para la expedición y modificación de la Licencia de Funcionamiento de las Instituciones de Educación para el Trabajo y Desarrollo Humano en Bogotá D.C”</w:t>
      </w:r>
    </w:p>
    <w:p w14:paraId="3FC6A652" w14:textId="77777777" w:rsidR="005C56BE" w:rsidRPr="005C56BE" w:rsidRDefault="005C56BE" w:rsidP="005C56BE">
      <w:pPr>
        <w:pStyle w:val="Textoindependiente"/>
        <w:jc w:val="center"/>
        <w:rPr>
          <w:rFonts w:ascii="Tahoma" w:hAnsi="Tahoma" w:cs="Tahoma"/>
          <w:b/>
          <w:iCs/>
          <w:sz w:val="20"/>
        </w:rPr>
      </w:pPr>
    </w:p>
    <w:p w14:paraId="5443E5C9" w14:textId="77777777" w:rsidR="005C56BE" w:rsidRDefault="005C56BE" w:rsidP="00191C9B">
      <w:pPr>
        <w:pStyle w:val="Textoindependiente"/>
        <w:jc w:val="center"/>
        <w:rPr>
          <w:rFonts w:ascii="Tahoma" w:hAnsi="Tahoma" w:cs="Tahoma"/>
          <w:b/>
          <w:sz w:val="20"/>
        </w:rPr>
      </w:pPr>
    </w:p>
    <w:p w14:paraId="275A8C03" w14:textId="36B837DD" w:rsidR="006F680F" w:rsidRPr="00DC71CF" w:rsidRDefault="006F680F" w:rsidP="00191C9B">
      <w:pPr>
        <w:pStyle w:val="Textoindependiente"/>
        <w:jc w:val="center"/>
        <w:rPr>
          <w:rFonts w:ascii="Tahoma" w:hAnsi="Tahoma" w:cs="Tahoma"/>
          <w:b/>
          <w:sz w:val="20"/>
        </w:rPr>
      </w:pPr>
      <w:r>
        <w:rPr>
          <w:rFonts w:ascii="Tahoma" w:hAnsi="Tahoma" w:cs="Tahoma"/>
          <w:b/>
          <w:sz w:val="20"/>
        </w:rPr>
        <w:t>L</w:t>
      </w:r>
      <w:r w:rsidR="00BE6CAD">
        <w:rPr>
          <w:rFonts w:ascii="Tahoma" w:hAnsi="Tahoma" w:cs="Tahoma"/>
          <w:b/>
          <w:sz w:val="20"/>
        </w:rPr>
        <w:t>A</w:t>
      </w:r>
      <w:r w:rsidRPr="00795265">
        <w:rPr>
          <w:rFonts w:ascii="Tahoma" w:hAnsi="Tahoma" w:cs="Tahoma"/>
          <w:b/>
          <w:sz w:val="20"/>
        </w:rPr>
        <w:t xml:space="preserve"> SECRETARI</w:t>
      </w:r>
      <w:r w:rsidR="00BE6CAD">
        <w:rPr>
          <w:rFonts w:ascii="Tahoma" w:hAnsi="Tahoma" w:cs="Tahoma"/>
          <w:b/>
          <w:sz w:val="20"/>
        </w:rPr>
        <w:t>A</w:t>
      </w:r>
      <w:r w:rsidRPr="00795265">
        <w:rPr>
          <w:rFonts w:ascii="Tahoma" w:hAnsi="Tahoma" w:cs="Tahoma"/>
          <w:b/>
          <w:sz w:val="20"/>
        </w:rPr>
        <w:t xml:space="preserve"> DE EDUCACIÓN DEL DISTRITO</w:t>
      </w:r>
      <w:r w:rsidRPr="00DC71CF">
        <w:rPr>
          <w:rFonts w:ascii="Tahoma" w:hAnsi="Tahoma" w:cs="Tahoma"/>
          <w:b/>
          <w:sz w:val="20"/>
        </w:rPr>
        <w:t xml:space="preserve"> </w:t>
      </w:r>
    </w:p>
    <w:p w14:paraId="57BA0DF4" w14:textId="77777777" w:rsidR="006F680F" w:rsidRPr="00DC71CF" w:rsidRDefault="006F680F" w:rsidP="00191C9B">
      <w:pPr>
        <w:pStyle w:val="Textoindependiente"/>
        <w:jc w:val="center"/>
        <w:rPr>
          <w:rFonts w:ascii="Tahoma" w:hAnsi="Tahoma" w:cs="Tahoma"/>
          <w:b/>
          <w:sz w:val="20"/>
        </w:rPr>
      </w:pPr>
    </w:p>
    <w:p w14:paraId="17B632B1" w14:textId="12739DAF" w:rsidR="006F680F" w:rsidRPr="00DC71CF" w:rsidRDefault="00B43C29" w:rsidP="00191C9B">
      <w:pPr>
        <w:tabs>
          <w:tab w:val="left" w:pos="2028"/>
          <w:tab w:val="center" w:pos="4702"/>
        </w:tabs>
        <w:jc w:val="center"/>
        <w:rPr>
          <w:rFonts w:ascii="Tahoma" w:hAnsi="Tahoma" w:cs="Tahoma"/>
          <w:sz w:val="20"/>
          <w:szCs w:val="20"/>
        </w:rPr>
      </w:pPr>
      <w:r w:rsidRPr="00B43C29">
        <w:rPr>
          <w:rFonts w:ascii="Tahoma" w:hAnsi="Tahoma" w:cs="Tahoma"/>
          <w:sz w:val="20"/>
          <w:szCs w:val="20"/>
          <w:lang w:val="es-ES"/>
        </w:rPr>
        <w:t>En ejercicio de las facultades legales, y en especial las conferidas en la Ley 115 de 1994, Ley 1064 de 2006, el Decreto 1075 de 2015, el Decreto Distrital 310 de 2022</w:t>
      </w:r>
      <w:r>
        <w:rPr>
          <w:rFonts w:ascii="Tahoma" w:hAnsi="Tahoma" w:cs="Tahoma"/>
          <w:sz w:val="20"/>
          <w:szCs w:val="20"/>
          <w:lang w:val="es-ES"/>
        </w:rPr>
        <w:t>,</w:t>
      </w:r>
      <w:r w:rsidRPr="00B43C29">
        <w:rPr>
          <w:rFonts w:ascii="Tahoma" w:hAnsi="Tahoma" w:cs="Tahoma"/>
          <w:sz w:val="20"/>
          <w:szCs w:val="20"/>
          <w:lang w:val="es-ES"/>
        </w:rPr>
        <w:t xml:space="preserve"> y</w:t>
      </w:r>
      <w:r w:rsidR="006F680F" w:rsidRPr="00DC71CF">
        <w:rPr>
          <w:rFonts w:ascii="Tahoma" w:hAnsi="Tahoma" w:cs="Tahoma"/>
          <w:sz w:val="20"/>
          <w:szCs w:val="20"/>
        </w:rPr>
        <w:t xml:space="preserve"> </w:t>
      </w:r>
    </w:p>
    <w:p w14:paraId="43C37D1A" w14:textId="77777777" w:rsidR="006F680F" w:rsidRPr="00DC71CF" w:rsidRDefault="006F680F" w:rsidP="00191C9B">
      <w:pPr>
        <w:tabs>
          <w:tab w:val="left" w:pos="2028"/>
          <w:tab w:val="center" w:pos="4702"/>
        </w:tabs>
        <w:jc w:val="center"/>
        <w:rPr>
          <w:rFonts w:ascii="Tahoma" w:hAnsi="Tahoma" w:cs="Tahoma"/>
          <w:bCs/>
          <w:sz w:val="20"/>
          <w:szCs w:val="20"/>
        </w:rPr>
      </w:pPr>
    </w:p>
    <w:p w14:paraId="3DA32F41" w14:textId="77777777" w:rsidR="006F680F" w:rsidRPr="00DC71CF" w:rsidRDefault="006F680F" w:rsidP="00191C9B">
      <w:pPr>
        <w:jc w:val="center"/>
        <w:rPr>
          <w:rFonts w:ascii="Tahoma" w:hAnsi="Tahoma" w:cs="Tahoma"/>
          <w:b/>
          <w:sz w:val="20"/>
          <w:szCs w:val="20"/>
        </w:rPr>
      </w:pPr>
      <w:r w:rsidRPr="00DC71CF">
        <w:rPr>
          <w:rFonts w:ascii="Tahoma" w:hAnsi="Tahoma" w:cs="Tahoma"/>
          <w:b/>
          <w:sz w:val="20"/>
          <w:szCs w:val="20"/>
        </w:rPr>
        <w:t>CONSIDERANDO:</w:t>
      </w:r>
    </w:p>
    <w:p w14:paraId="38589E2A" w14:textId="77777777" w:rsidR="006F680F" w:rsidRPr="00DC71CF" w:rsidRDefault="006F680F" w:rsidP="00191C9B">
      <w:pPr>
        <w:tabs>
          <w:tab w:val="left" w:pos="6810"/>
        </w:tabs>
        <w:jc w:val="both"/>
        <w:rPr>
          <w:rFonts w:ascii="Tahoma" w:hAnsi="Tahoma" w:cs="Tahoma"/>
          <w:sz w:val="20"/>
          <w:szCs w:val="20"/>
        </w:rPr>
      </w:pPr>
    </w:p>
    <w:p w14:paraId="38FD6820" w14:textId="364E33FF" w:rsidR="00B43C29" w:rsidRPr="00B43C29" w:rsidRDefault="00B43C29" w:rsidP="00B43C29">
      <w:pPr>
        <w:pStyle w:val="Textoindependiente3"/>
        <w:widowControl w:val="0"/>
        <w:autoSpaceDE w:val="0"/>
        <w:autoSpaceDN w:val="0"/>
        <w:adjustRightInd w:val="0"/>
        <w:rPr>
          <w:rFonts w:ascii="Tahoma" w:hAnsi="Tahoma" w:cs="Tahoma"/>
          <w:sz w:val="20"/>
          <w:lang w:val="es-ES"/>
        </w:rPr>
      </w:pPr>
      <w:r w:rsidRPr="00B43C29">
        <w:rPr>
          <w:rFonts w:ascii="Tahoma" w:hAnsi="Tahoma" w:cs="Tahoma"/>
          <w:sz w:val="20"/>
          <w:lang w:val="es-ES"/>
        </w:rPr>
        <w:t>Que el Capítulo 2 del Título II de la Ley 115 de 1994 define la educación para el trabajo y el desarrollo humano (antes conocida como educación no formal) como aquella que se ofrece con el objeto de complementar, actualizar, suplir conocimientos y formar en aspectos académicos o laborales sin sujeción al sistema de niveles y grados. Además, establece su finalidad, oferta, el fomento y la reglamentación de dicho servicio educativo.</w:t>
      </w:r>
    </w:p>
    <w:p w14:paraId="64B17348" w14:textId="77777777" w:rsidR="00913FB4" w:rsidRPr="00B43C29" w:rsidRDefault="00913FB4" w:rsidP="00913FB4">
      <w:pPr>
        <w:pStyle w:val="Textoindependiente3"/>
        <w:widowControl w:val="0"/>
        <w:autoSpaceDE w:val="0"/>
        <w:autoSpaceDN w:val="0"/>
        <w:adjustRightInd w:val="0"/>
        <w:rPr>
          <w:rFonts w:ascii="Tahoma" w:hAnsi="Tahoma" w:cs="Tahoma"/>
          <w:sz w:val="20"/>
          <w:lang w:val="es-ES"/>
        </w:rPr>
      </w:pPr>
    </w:p>
    <w:p w14:paraId="06A0726B" w14:textId="77777777" w:rsidR="00913FB4" w:rsidRPr="00B43C29" w:rsidRDefault="00913FB4" w:rsidP="00913FB4">
      <w:pPr>
        <w:pStyle w:val="Textoindependiente3"/>
        <w:widowControl w:val="0"/>
        <w:autoSpaceDE w:val="0"/>
        <w:autoSpaceDN w:val="0"/>
        <w:adjustRightInd w:val="0"/>
        <w:rPr>
          <w:rFonts w:ascii="Tahoma" w:hAnsi="Tahoma" w:cs="Tahoma"/>
          <w:sz w:val="20"/>
          <w:lang w:val="es-ES"/>
        </w:rPr>
      </w:pPr>
      <w:r w:rsidRPr="00B43C29">
        <w:rPr>
          <w:rFonts w:ascii="Tahoma" w:hAnsi="Tahoma" w:cs="Tahoma"/>
          <w:sz w:val="20"/>
          <w:lang w:val="es-ES"/>
        </w:rPr>
        <w:t xml:space="preserve">Que el artículo 138 de la Ley 115 de 1994 determina como requisitos de los establecimientos educativos regidos bajo esa normal, como la ETDH, tener licencia de funcionamiento o reconocimiento de carácter oficial, disponer de una estructura administrativa, una planta física, medios educativos y proyecto educativo institucional – PEI. </w:t>
      </w:r>
    </w:p>
    <w:p w14:paraId="6D42C543" w14:textId="77777777" w:rsidR="00913FB4" w:rsidRDefault="00913FB4" w:rsidP="00B43C29">
      <w:pPr>
        <w:pStyle w:val="Textoindependiente3"/>
        <w:widowControl w:val="0"/>
        <w:autoSpaceDE w:val="0"/>
        <w:autoSpaceDN w:val="0"/>
        <w:adjustRightInd w:val="0"/>
        <w:rPr>
          <w:rFonts w:ascii="Tahoma" w:hAnsi="Tahoma" w:cs="Tahoma"/>
          <w:sz w:val="20"/>
          <w:lang w:val="es-ES"/>
        </w:rPr>
      </w:pPr>
    </w:p>
    <w:p w14:paraId="6C906EF6" w14:textId="54521D81" w:rsidR="00B43C29" w:rsidRPr="00B43C29" w:rsidRDefault="00B43C29" w:rsidP="00B43C29">
      <w:pPr>
        <w:pStyle w:val="Textoindependiente3"/>
        <w:widowControl w:val="0"/>
        <w:autoSpaceDE w:val="0"/>
        <w:autoSpaceDN w:val="0"/>
        <w:adjustRightInd w:val="0"/>
        <w:rPr>
          <w:rFonts w:ascii="Tahoma" w:hAnsi="Tahoma" w:cs="Tahoma"/>
          <w:sz w:val="20"/>
          <w:lang w:val="es-ES"/>
        </w:rPr>
      </w:pPr>
      <w:r w:rsidRPr="00B43C29">
        <w:rPr>
          <w:rFonts w:ascii="Tahoma" w:hAnsi="Tahoma" w:cs="Tahoma"/>
          <w:sz w:val="20"/>
          <w:lang w:val="es-ES"/>
        </w:rPr>
        <w:t xml:space="preserve">Que la Ley 1064 de 2006 reemplaza la denominación de educación no formal por educación para el trabajo y el desarrollo humano - ETDH y la reconoce como parte esencial del proceso educativo de la persona y el componente dinamizador en la formación de técnicos laborales y expertos en las artes y oficios. </w:t>
      </w:r>
    </w:p>
    <w:p w14:paraId="59955ACB" w14:textId="77777777" w:rsidR="00B43C29" w:rsidRPr="00B43C29" w:rsidRDefault="00B43C29" w:rsidP="00B43C29">
      <w:pPr>
        <w:pStyle w:val="Textoindependiente3"/>
        <w:widowControl w:val="0"/>
        <w:autoSpaceDE w:val="0"/>
        <w:autoSpaceDN w:val="0"/>
        <w:adjustRightInd w:val="0"/>
        <w:rPr>
          <w:rFonts w:ascii="Tahoma" w:hAnsi="Tahoma" w:cs="Tahoma"/>
          <w:sz w:val="20"/>
          <w:lang w:val="es-ES"/>
        </w:rPr>
      </w:pPr>
    </w:p>
    <w:p w14:paraId="51C914E2" w14:textId="36BB4745" w:rsidR="00B43C29" w:rsidRPr="00B43C29" w:rsidRDefault="00B43C29" w:rsidP="00B43C29">
      <w:pPr>
        <w:pStyle w:val="Textoindependiente3"/>
        <w:widowControl w:val="0"/>
        <w:autoSpaceDE w:val="0"/>
        <w:autoSpaceDN w:val="0"/>
        <w:adjustRightInd w:val="0"/>
        <w:rPr>
          <w:rFonts w:ascii="Tahoma" w:hAnsi="Tahoma" w:cs="Tahoma"/>
          <w:sz w:val="20"/>
          <w:lang w:val="es-ES"/>
        </w:rPr>
      </w:pPr>
      <w:r w:rsidRPr="00B43C29">
        <w:rPr>
          <w:rFonts w:ascii="Tahoma" w:hAnsi="Tahoma" w:cs="Tahoma"/>
          <w:sz w:val="20"/>
          <w:lang w:val="es-ES"/>
        </w:rPr>
        <w:t>Que la Parte 6 del Libro 2 del Decreto</w:t>
      </w:r>
      <w:r w:rsidR="00913FB4" w:rsidRPr="00813324">
        <w:rPr>
          <w:rFonts w:ascii="Tahoma" w:hAnsi="Tahoma" w:cs="Tahoma"/>
          <w:i/>
          <w:iCs/>
          <w:sz w:val="20"/>
          <w:lang w:val="es-ES"/>
        </w:rPr>
        <w:t xml:space="preserve"> </w:t>
      </w:r>
      <w:r w:rsidR="00913FB4" w:rsidRPr="005C56BE">
        <w:rPr>
          <w:rFonts w:ascii="Tahoma" w:hAnsi="Tahoma" w:cs="Tahoma"/>
          <w:sz w:val="20"/>
          <w:lang w:val="es-ES"/>
        </w:rPr>
        <w:t>Único Reglamentario del Sector Educación</w:t>
      </w:r>
      <w:r w:rsidR="00913FB4" w:rsidRPr="00913FB4">
        <w:rPr>
          <w:rFonts w:ascii="Tahoma" w:hAnsi="Tahoma" w:cs="Tahoma"/>
          <w:sz w:val="20"/>
          <w:lang w:val="es-ES"/>
        </w:rPr>
        <w:t xml:space="preserve"> </w:t>
      </w:r>
      <w:r w:rsidRPr="00B43C29">
        <w:rPr>
          <w:rFonts w:ascii="Tahoma" w:hAnsi="Tahoma" w:cs="Tahoma"/>
          <w:sz w:val="20"/>
          <w:lang w:val="es-ES"/>
        </w:rPr>
        <w:t>1075 de 2015</w:t>
      </w:r>
      <w:r w:rsidR="00913FB4">
        <w:rPr>
          <w:rFonts w:ascii="Tahoma" w:hAnsi="Tahoma" w:cs="Tahoma"/>
          <w:sz w:val="20"/>
          <w:lang w:val="es-ES"/>
        </w:rPr>
        <w:t xml:space="preserve">, </w:t>
      </w:r>
      <w:r w:rsidRPr="00B43C29">
        <w:rPr>
          <w:rFonts w:ascii="Tahoma" w:hAnsi="Tahoma" w:cs="Tahoma"/>
          <w:sz w:val="20"/>
          <w:lang w:val="es-ES"/>
        </w:rPr>
        <w:t>reglamenta la creación, organización, oferta y funcionamiento de la prestación del servicio público de la ETDH en el país. Dentro de estas normas, dispone en el artículo 2.6.3.1 que los establecimientos que deseen ofrecer ETDH deben contar con licencia de funcionamiento otorgado por una Secretaría de Educación y registro de programas, cuyos requisitos están en el artículo 2.6.3.4.</w:t>
      </w:r>
    </w:p>
    <w:p w14:paraId="2A32F499" w14:textId="77777777" w:rsidR="00B43C29" w:rsidRPr="00B43C29" w:rsidRDefault="00B43C29" w:rsidP="00B43C29">
      <w:pPr>
        <w:pStyle w:val="Textoindependiente3"/>
        <w:widowControl w:val="0"/>
        <w:autoSpaceDE w:val="0"/>
        <w:autoSpaceDN w:val="0"/>
        <w:adjustRightInd w:val="0"/>
        <w:rPr>
          <w:rFonts w:ascii="Tahoma" w:hAnsi="Tahoma" w:cs="Tahoma"/>
          <w:sz w:val="20"/>
          <w:lang w:val="es-ES"/>
        </w:rPr>
      </w:pPr>
    </w:p>
    <w:p w14:paraId="7FDE6AE5" w14:textId="03FF8760" w:rsidR="00B43C29" w:rsidRPr="00B43C29" w:rsidRDefault="00B43C29" w:rsidP="00B43C29">
      <w:pPr>
        <w:pStyle w:val="Textoindependiente3"/>
        <w:widowControl w:val="0"/>
        <w:autoSpaceDE w:val="0"/>
        <w:autoSpaceDN w:val="0"/>
        <w:adjustRightInd w:val="0"/>
        <w:rPr>
          <w:rFonts w:ascii="Tahoma" w:hAnsi="Tahoma" w:cs="Tahoma"/>
          <w:sz w:val="20"/>
          <w:lang w:val="es-ES"/>
        </w:rPr>
      </w:pPr>
      <w:r w:rsidRPr="00B43C29">
        <w:rPr>
          <w:rFonts w:ascii="Tahoma" w:hAnsi="Tahoma" w:cs="Tahoma"/>
          <w:sz w:val="20"/>
          <w:lang w:val="es-ES"/>
        </w:rPr>
        <w:t xml:space="preserve">Que en el Decreto Distrital 310 de 2022 se estableció la estructura y funciones de la entidad y mediante el literal </w:t>
      </w:r>
      <w:r w:rsidR="00332550" w:rsidRPr="00B43C29">
        <w:rPr>
          <w:rFonts w:ascii="Tahoma" w:hAnsi="Tahoma" w:cs="Tahoma"/>
          <w:sz w:val="20"/>
          <w:lang w:val="es-ES"/>
        </w:rPr>
        <w:t>p</w:t>
      </w:r>
      <w:r w:rsidR="00332550">
        <w:rPr>
          <w:rFonts w:ascii="Tahoma" w:hAnsi="Tahoma" w:cs="Tahoma"/>
          <w:sz w:val="20"/>
          <w:lang w:val="es-ES"/>
        </w:rPr>
        <w:t>)</w:t>
      </w:r>
      <w:r w:rsidR="00332550" w:rsidRPr="00B43C29">
        <w:rPr>
          <w:rFonts w:ascii="Tahoma" w:hAnsi="Tahoma" w:cs="Tahoma"/>
          <w:sz w:val="20"/>
          <w:lang w:val="es-ES"/>
        </w:rPr>
        <w:t xml:space="preserve"> </w:t>
      </w:r>
      <w:r w:rsidRPr="00B43C29">
        <w:rPr>
          <w:rFonts w:ascii="Tahoma" w:hAnsi="Tahoma" w:cs="Tahoma"/>
          <w:sz w:val="20"/>
          <w:lang w:val="es-ES"/>
        </w:rPr>
        <w:t>del artículo 3, facultó a la Secretaría de Educación del Distrito para expedir actos administrativos relacionados con el funcionamiento de las instituciones de educación formal y no formal, y, mediante el literal P del artículo 16, desconcentró en las Direcciones Locales de Educación la función de atender los trámites de expedición o modificación de las licencias de funcionamiento para instituciones educativas privadas y para instituciones de educación para el trabajo y desarrollo humano.</w:t>
      </w:r>
    </w:p>
    <w:p w14:paraId="12B7C0D1" w14:textId="77777777" w:rsidR="00B43C29" w:rsidRPr="00B43C29" w:rsidRDefault="00B43C29" w:rsidP="00B43C29">
      <w:pPr>
        <w:pStyle w:val="Textoindependiente3"/>
        <w:widowControl w:val="0"/>
        <w:autoSpaceDE w:val="0"/>
        <w:autoSpaceDN w:val="0"/>
        <w:adjustRightInd w:val="0"/>
        <w:rPr>
          <w:rFonts w:ascii="Tahoma" w:hAnsi="Tahoma" w:cs="Tahoma"/>
          <w:sz w:val="20"/>
          <w:lang w:val="es-ES"/>
        </w:rPr>
      </w:pPr>
    </w:p>
    <w:p w14:paraId="2E6CBB83" w14:textId="77777777" w:rsidR="00B43C29" w:rsidRPr="00B43C29" w:rsidRDefault="00B43C29" w:rsidP="00B43C29">
      <w:pPr>
        <w:pStyle w:val="Textoindependiente3"/>
        <w:widowControl w:val="0"/>
        <w:autoSpaceDE w:val="0"/>
        <w:autoSpaceDN w:val="0"/>
        <w:adjustRightInd w:val="0"/>
        <w:rPr>
          <w:rFonts w:ascii="Tahoma" w:hAnsi="Tahoma" w:cs="Tahoma"/>
          <w:sz w:val="20"/>
          <w:lang w:val="es-ES"/>
        </w:rPr>
      </w:pPr>
      <w:r w:rsidRPr="00B43C29">
        <w:rPr>
          <w:rFonts w:ascii="Tahoma" w:hAnsi="Tahoma" w:cs="Tahoma"/>
          <w:sz w:val="20"/>
          <w:lang w:val="es-ES"/>
        </w:rPr>
        <w:t>Que teniendo en cuenta que las exigencias para la expedición y modificación de licencias de funcionamiento para la ETDH ha generado diversas interpretaciones y existe diferencia de criterio en las Direcciones Locales de Educación, particularmente en lo relacionado con las licencias de construcción, se considera pertinente fijar directrices claras, concisas en pro de garantizar la unidad de criterio y seguridad jurídica, al momento de atender el respectivo trámite a través de las Direcciones Locales de Educación y el equipo de inspección y vigilancia de la entidad.</w:t>
      </w:r>
    </w:p>
    <w:p w14:paraId="1C62632A" w14:textId="77777777" w:rsidR="00B43C29" w:rsidRPr="00B43C29" w:rsidRDefault="00B43C29" w:rsidP="00B43C29">
      <w:pPr>
        <w:pStyle w:val="Textoindependiente3"/>
        <w:widowControl w:val="0"/>
        <w:autoSpaceDE w:val="0"/>
        <w:autoSpaceDN w:val="0"/>
        <w:adjustRightInd w:val="0"/>
        <w:rPr>
          <w:rFonts w:ascii="Tahoma" w:hAnsi="Tahoma" w:cs="Tahoma"/>
          <w:sz w:val="20"/>
          <w:lang w:val="es-ES"/>
        </w:rPr>
      </w:pPr>
    </w:p>
    <w:p w14:paraId="0582FC2E" w14:textId="4B053341" w:rsidR="00B43C29" w:rsidRPr="00B43C29" w:rsidRDefault="00B43C29" w:rsidP="00B43C29">
      <w:pPr>
        <w:pStyle w:val="Textoindependiente3"/>
        <w:widowControl w:val="0"/>
        <w:autoSpaceDE w:val="0"/>
        <w:autoSpaceDN w:val="0"/>
        <w:adjustRightInd w:val="0"/>
        <w:rPr>
          <w:rFonts w:ascii="Tahoma" w:hAnsi="Tahoma" w:cs="Tahoma"/>
          <w:sz w:val="20"/>
          <w:lang w:val="es-ES"/>
        </w:rPr>
      </w:pPr>
      <w:r w:rsidRPr="00B43C29">
        <w:rPr>
          <w:rFonts w:ascii="Tahoma" w:hAnsi="Tahoma" w:cs="Tahoma"/>
          <w:sz w:val="20"/>
          <w:lang w:val="es-ES"/>
        </w:rPr>
        <w:lastRenderedPageBreak/>
        <w:t>Que debido a que las normas del sector educativo no regulan aspectos relacionados con la licencia de construcción o el uso del suelo, es necesario remitirse a normas específicas de otros sectores como el Decreto</w:t>
      </w:r>
      <w:r w:rsidR="00913FB4" w:rsidRPr="00913FB4">
        <w:rPr>
          <w:rFonts w:ascii="Tahoma" w:hAnsi="Tahoma" w:cs="Tahoma"/>
          <w:sz w:val="20"/>
          <w:lang w:val="es-ES"/>
        </w:rPr>
        <w:t xml:space="preserve"> Único Reglamentario del Sector Vivienda, Ciudad y Territorio</w:t>
      </w:r>
      <w:r w:rsidR="00913FB4" w:rsidRPr="00913FB4" w:rsidDel="00913FB4">
        <w:rPr>
          <w:rFonts w:ascii="Tahoma" w:hAnsi="Tahoma" w:cs="Tahoma"/>
          <w:sz w:val="20"/>
          <w:lang w:val="es-ES"/>
        </w:rPr>
        <w:t xml:space="preserve"> </w:t>
      </w:r>
      <w:r w:rsidRPr="00B43C29">
        <w:rPr>
          <w:rFonts w:ascii="Tahoma" w:hAnsi="Tahoma" w:cs="Tahoma"/>
          <w:sz w:val="20"/>
          <w:lang w:val="es-ES"/>
        </w:rPr>
        <w:t xml:space="preserve">1077 de </w:t>
      </w:r>
      <w:proofErr w:type="gramStart"/>
      <w:r w:rsidRPr="00B43C29">
        <w:rPr>
          <w:rFonts w:ascii="Tahoma" w:hAnsi="Tahoma" w:cs="Tahoma"/>
          <w:sz w:val="20"/>
          <w:lang w:val="es-ES"/>
        </w:rPr>
        <w:t xml:space="preserve">2015 </w:t>
      </w:r>
      <w:r w:rsidR="00913FB4">
        <w:rPr>
          <w:rFonts w:ascii="Tahoma" w:hAnsi="Tahoma" w:cs="Tahoma"/>
          <w:sz w:val="20"/>
          <w:lang w:val="es-ES"/>
        </w:rPr>
        <w:t>,</w:t>
      </w:r>
      <w:proofErr w:type="gramEnd"/>
      <w:r w:rsidR="00913FB4">
        <w:rPr>
          <w:rFonts w:ascii="Tahoma" w:hAnsi="Tahoma" w:cs="Tahoma"/>
          <w:sz w:val="20"/>
          <w:lang w:val="es-ES"/>
        </w:rPr>
        <w:t xml:space="preserve"> </w:t>
      </w:r>
      <w:r w:rsidRPr="00B43C29">
        <w:rPr>
          <w:rFonts w:ascii="Tahoma" w:hAnsi="Tahoma" w:cs="Tahoma"/>
          <w:sz w:val="20"/>
          <w:lang w:val="es-ES"/>
        </w:rPr>
        <w:t>y a las normas urbanísticas distritales vigentes al momento de expedir las licencias de construcción.</w:t>
      </w:r>
    </w:p>
    <w:p w14:paraId="0D1133DA" w14:textId="77777777" w:rsidR="00B43C29" w:rsidRPr="00B43C29" w:rsidRDefault="00B43C29" w:rsidP="00B43C29">
      <w:pPr>
        <w:pStyle w:val="Textoindependiente3"/>
        <w:widowControl w:val="0"/>
        <w:autoSpaceDE w:val="0"/>
        <w:autoSpaceDN w:val="0"/>
        <w:adjustRightInd w:val="0"/>
        <w:rPr>
          <w:rFonts w:ascii="Tahoma" w:hAnsi="Tahoma" w:cs="Tahoma"/>
          <w:sz w:val="20"/>
          <w:lang w:val="es-ES"/>
        </w:rPr>
      </w:pPr>
    </w:p>
    <w:p w14:paraId="16981DB1" w14:textId="10374098" w:rsidR="00B43C29" w:rsidRPr="00B43C29" w:rsidRDefault="00B43C29" w:rsidP="00191C9B">
      <w:pPr>
        <w:pStyle w:val="Textoindependiente3"/>
        <w:widowControl w:val="0"/>
        <w:autoSpaceDE w:val="0"/>
        <w:autoSpaceDN w:val="0"/>
        <w:adjustRightInd w:val="0"/>
        <w:rPr>
          <w:rFonts w:ascii="Tahoma" w:hAnsi="Tahoma" w:cs="Tahoma"/>
          <w:sz w:val="20"/>
          <w:lang w:val="es-ES"/>
        </w:rPr>
      </w:pPr>
      <w:r w:rsidRPr="00B43C29">
        <w:rPr>
          <w:rFonts w:ascii="Tahoma" w:hAnsi="Tahoma" w:cs="Tahoma"/>
          <w:sz w:val="20"/>
          <w:lang w:val="es-ES"/>
        </w:rPr>
        <w:t xml:space="preserve">Que la SED desarrolló espacios de participación con el fin difundir este proyecto normativo y la claridad de las normas que reglamentan la educación para el trabajo y el desarrollo humano en la ciudad, al igual que, de conformidad con lo establecido en el numeral 8 del artículo 8 de la Ley 1437 de 2011, el presente proyecto de resolución y su respectiva memoria justificativa fueron publicados y socializados entre el </w:t>
      </w:r>
      <w:proofErr w:type="spellStart"/>
      <w:r w:rsidRPr="00B43C29">
        <w:rPr>
          <w:rFonts w:ascii="Tahoma" w:hAnsi="Tahoma" w:cs="Tahoma"/>
          <w:sz w:val="20"/>
          <w:lang w:val="es-ES"/>
        </w:rPr>
        <w:t>xxx</w:t>
      </w:r>
      <w:proofErr w:type="spellEnd"/>
      <w:r w:rsidRPr="00B43C29">
        <w:rPr>
          <w:rFonts w:ascii="Tahoma" w:hAnsi="Tahoma" w:cs="Tahoma"/>
          <w:sz w:val="20"/>
          <w:lang w:val="es-ES"/>
        </w:rPr>
        <w:t xml:space="preserve"> de XXXX y el x de XXXX de 2025 para observaciones de la ciudadanía.</w:t>
      </w:r>
    </w:p>
    <w:p w14:paraId="7AF70419" w14:textId="77777777" w:rsidR="00B43C29" w:rsidRDefault="00B43C29" w:rsidP="00191C9B">
      <w:pPr>
        <w:pStyle w:val="Textoindependiente3"/>
        <w:widowControl w:val="0"/>
        <w:autoSpaceDE w:val="0"/>
        <w:autoSpaceDN w:val="0"/>
        <w:adjustRightInd w:val="0"/>
        <w:rPr>
          <w:rFonts w:ascii="Tahoma" w:hAnsi="Tahoma" w:cs="Tahoma"/>
          <w:sz w:val="20"/>
        </w:rPr>
      </w:pPr>
    </w:p>
    <w:p w14:paraId="635D109B" w14:textId="28695190" w:rsidR="006F680F" w:rsidRPr="00DC71CF" w:rsidRDefault="006F680F" w:rsidP="00191C9B">
      <w:pPr>
        <w:pBdr>
          <w:top w:val="nil"/>
          <w:left w:val="nil"/>
          <w:bottom w:val="nil"/>
          <w:right w:val="nil"/>
          <w:between w:val="nil"/>
        </w:pBdr>
        <w:jc w:val="both"/>
        <w:rPr>
          <w:rFonts w:ascii="Tahoma" w:hAnsi="Tahoma" w:cs="Tahoma"/>
          <w:sz w:val="20"/>
          <w:szCs w:val="20"/>
        </w:rPr>
      </w:pPr>
      <w:r w:rsidRPr="00DC71CF">
        <w:rPr>
          <w:rFonts w:ascii="Tahoma" w:hAnsi="Tahoma" w:cs="Tahoma"/>
          <w:sz w:val="20"/>
          <w:szCs w:val="20"/>
        </w:rPr>
        <w:t xml:space="preserve">Que, </w:t>
      </w:r>
      <w:r w:rsidR="00BE6CAD">
        <w:rPr>
          <w:rFonts w:ascii="Tahoma" w:hAnsi="Tahoma" w:cs="Tahoma"/>
          <w:sz w:val="20"/>
          <w:szCs w:val="20"/>
        </w:rPr>
        <w:t>en mérito de lo expuesto, este d</w:t>
      </w:r>
      <w:r w:rsidRPr="00DC71CF">
        <w:rPr>
          <w:rFonts w:ascii="Tahoma" w:hAnsi="Tahoma" w:cs="Tahoma"/>
          <w:sz w:val="20"/>
          <w:szCs w:val="20"/>
        </w:rPr>
        <w:t xml:space="preserve">espacho, </w:t>
      </w:r>
    </w:p>
    <w:p w14:paraId="0452E2F4" w14:textId="77777777" w:rsidR="006F680F" w:rsidRPr="00DC71CF" w:rsidRDefault="006F680F" w:rsidP="002304C7">
      <w:pPr>
        <w:pStyle w:val="Textoindependiente3"/>
        <w:widowControl w:val="0"/>
        <w:autoSpaceDE w:val="0"/>
        <w:autoSpaceDN w:val="0"/>
        <w:adjustRightInd w:val="0"/>
        <w:rPr>
          <w:rFonts w:ascii="Tahoma" w:hAnsi="Tahoma" w:cs="Tahoma"/>
          <w:b/>
          <w:bCs/>
          <w:sz w:val="20"/>
        </w:rPr>
      </w:pPr>
    </w:p>
    <w:p w14:paraId="7861CF4D" w14:textId="34E8C58F" w:rsidR="001B0CBF" w:rsidRPr="00DC71CF" w:rsidRDefault="006F680F" w:rsidP="00191C9B">
      <w:pPr>
        <w:pStyle w:val="Textoindependiente3"/>
        <w:widowControl w:val="0"/>
        <w:autoSpaceDE w:val="0"/>
        <w:autoSpaceDN w:val="0"/>
        <w:adjustRightInd w:val="0"/>
        <w:jc w:val="center"/>
        <w:rPr>
          <w:rFonts w:ascii="Tahoma" w:hAnsi="Tahoma" w:cs="Tahoma"/>
          <w:b/>
          <w:bCs/>
          <w:sz w:val="20"/>
        </w:rPr>
      </w:pPr>
      <w:r w:rsidRPr="00DC71CF">
        <w:rPr>
          <w:rFonts w:ascii="Tahoma" w:hAnsi="Tahoma" w:cs="Tahoma"/>
          <w:b/>
          <w:bCs/>
          <w:sz w:val="20"/>
        </w:rPr>
        <w:t>RESUELVE</w:t>
      </w:r>
      <w:r w:rsidRPr="00DC71CF">
        <w:rPr>
          <w:rFonts w:ascii="Tahoma" w:hAnsi="Tahoma" w:cs="Tahoma"/>
          <w:b/>
          <w:sz w:val="20"/>
        </w:rPr>
        <w:t>:</w:t>
      </w:r>
    </w:p>
    <w:p w14:paraId="7F4D1E75" w14:textId="77777777" w:rsidR="006F680F" w:rsidRPr="00DC71CF" w:rsidRDefault="006F680F" w:rsidP="00B43C29">
      <w:pPr>
        <w:pStyle w:val="Textoindependiente3"/>
        <w:widowControl w:val="0"/>
        <w:autoSpaceDE w:val="0"/>
        <w:autoSpaceDN w:val="0"/>
        <w:adjustRightInd w:val="0"/>
        <w:jc w:val="center"/>
        <w:rPr>
          <w:rFonts w:ascii="Tahoma" w:hAnsi="Tahoma" w:cs="Tahoma"/>
          <w:b/>
          <w:sz w:val="20"/>
        </w:rPr>
      </w:pPr>
    </w:p>
    <w:p w14:paraId="3F55BE2C" w14:textId="77777777" w:rsidR="00B43C29" w:rsidRPr="00B43C29" w:rsidRDefault="00B43C29" w:rsidP="00B43C29">
      <w:pPr>
        <w:tabs>
          <w:tab w:val="left" w:pos="6810"/>
        </w:tabs>
        <w:jc w:val="center"/>
        <w:rPr>
          <w:rFonts w:ascii="Tahoma" w:hAnsi="Tahoma" w:cs="Tahoma"/>
          <w:b/>
          <w:bCs/>
          <w:sz w:val="20"/>
          <w:szCs w:val="20"/>
          <w:lang w:val="es-ES"/>
        </w:rPr>
      </w:pPr>
      <w:r w:rsidRPr="00B43C29">
        <w:rPr>
          <w:rFonts w:ascii="Tahoma" w:hAnsi="Tahoma" w:cs="Tahoma"/>
          <w:b/>
          <w:bCs/>
          <w:sz w:val="20"/>
          <w:szCs w:val="20"/>
          <w:lang w:val="es-ES"/>
        </w:rPr>
        <w:t>TÍTULO 1</w:t>
      </w:r>
    </w:p>
    <w:p w14:paraId="576D6C5C" w14:textId="77777777" w:rsidR="00B43C29" w:rsidRPr="00B43C29" w:rsidRDefault="00B43C29" w:rsidP="00B43C29">
      <w:pPr>
        <w:tabs>
          <w:tab w:val="left" w:pos="6810"/>
        </w:tabs>
        <w:jc w:val="center"/>
        <w:rPr>
          <w:rFonts w:ascii="Tahoma" w:hAnsi="Tahoma" w:cs="Tahoma"/>
          <w:b/>
          <w:bCs/>
          <w:sz w:val="20"/>
          <w:szCs w:val="20"/>
          <w:lang w:val="es-ES"/>
        </w:rPr>
      </w:pPr>
      <w:r w:rsidRPr="00B43C29">
        <w:rPr>
          <w:rFonts w:ascii="Tahoma" w:hAnsi="Tahoma" w:cs="Tahoma"/>
          <w:b/>
          <w:bCs/>
          <w:sz w:val="20"/>
          <w:szCs w:val="20"/>
          <w:lang w:val="es-ES"/>
        </w:rPr>
        <w:t>Definiciones</w:t>
      </w:r>
    </w:p>
    <w:p w14:paraId="1BE2DF1D" w14:textId="77777777" w:rsidR="00B43C29" w:rsidRPr="00B43C29" w:rsidRDefault="00B43C29" w:rsidP="00B43C29">
      <w:pPr>
        <w:tabs>
          <w:tab w:val="left" w:pos="6810"/>
        </w:tabs>
        <w:jc w:val="both"/>
        <w:rPr>
          <w:rFonts w:ascii="Tahoma" w:hAnsi="Tahoma" w:cs="Tahoma"/>
          <w:b/>
          <w:bCs/>
          <w:sz w:val="20"/>
          <w:szCs w:val="20"/>
          <w:lang w:val="es-ES"/>
        </w:rPr>
      </w:pPr>
    </w:p>
    <w:p w14:paraId="69961F45" w14:textId="48C3AFCB" w:rsidR="00B43C29" w:rsidRPr="00B43C29" w:rsidRDefault="00B43C29" w:rsidP="00B43C29">
      <w:pPr>
        <w:tabs>
          <w:tab w:val="left" w:pos="6810"/>
        </w:tabs>
        <w:jc w:val="both"/>
        <w:rPr>
          <w:rFonts w:ascii="Tahoma" w:hAnsi="Tahoma" w:cs="Tahoma"/>
          <w:bCs/>
          <w:sz w:val="20"/>
          <w:szCs w:val="20"/>
          <w:lang w:val="es-ES"/>
        </w:rPr>
      </w:pPr>
      <w:r w:rsidRPr="00B43C29">
        <w:rPr>
          <w:rFonts w:ascii="Tahoma" w:hAnsi="Tahoma" w:cs="Tahoma"/>
          <w:b/>
          <w:bCs/>
          <w:sz w:val="20"/>
          <w:szCs w:val="20"/>
          <w:lang w:val="es-ES"/>
        </w:rPr>
        <w:t xml:space="preserve">Artículo 1º.- Definiciones. </w:t>
      </w:r>
      <w:r w:rsidRPr="00B43C29">
        <w:rPr>
          <w:rFonts w:ascii="Tahoma" w:hAnsi="Tahoma" w:cs="Tahoma"/>
          <w:bCs/>
          <w:sz w:val="20"/>
          <w:szCs w:val="20"/>
          <w:lang w:val="es-ES"/>
        </w:rPr>
        <w:t xml:space="preserve">Las Direcciones Locales de Educación y los equipos de inspección y vigilancia de la Secretaría de Educación del Distrito seguirán las normas dispuestas en este acto administrativo para los trámites </w:t>
      </w:r>
      <w:r w:rsidR="005C56BE">
        <w:rPr>
          <w:rFonts w:ascii="Tahoma" w:hAnsi="Tahoma" w:cs="Tahoma"/>
          <w:bCs/>
          <w:sz w:val="20"/>
          <w:szCs w:val="20"/>
          <w:lang w:val="es-ES"/>
        </w:rPr>
        <w:t xml:space="preserve">de </w:t>
      </w:r>
      <w:r w:rsidR="005C56BE" w:rsidRPr="005C56BE">
        <w:rPr>
          <w:rFonts w:ascii="Tahoma" w:hAnsi="Tahoma" w:cs="Tahoma"/>
          <w:bCs/>
          <w:iCs/>
          <w:sz w:val="20"/>
          <w:szCs w:val="20"/>
          <w:lang w:val="es-ES"/>
        </w:rPr>
        <w:t xml:space="preserve">expedición y modificación </w:t>
      </w:r>
      <w:r w:rsidRPr="00B43C29">
        <w:rPr>
          <w:rFonts w:ascii="Tahoma" w:hAnsi="Tahoma" w:cs="Tahoma"/>
          <w:bCs/>
          <w:sz w:val="20"/>
          <w:szCs w:val="20"/>
          <w:lang w:val="es-ES"/>
        </w:rPr>
        <w:t xml:space="preserve">de </w:t>
      </w:r>
      <w:r w:rsidR="005C56BE">
        <w:rPr>
          <w:rFonts w:ascii="Tahoma" w:hAnsi="Tahoma" w:cs="Tahoma"/>
          <w:bCs/>
          <w:sz w:val="20"/>
          <w:szCs w:val="20"/>
          <w:lang w:val="es-ES"/>
        </w:rPr>
        <w:t xml:space="preserve">licencias de funcionamiento </w:t>
      </w:r>
      <w:r w:rsidRPr="00B43C29">
        <w:rPr>
          <w:rFonts w:ascii="Tahoma" w:hAnsi="Tahoma" w:cs="Tahoma"/>
          <w:bCs/>
          <w:sz w:val="20"/>
          <w:szCs w:val="20"/>
          <w:lang w:val="es-ES"/>
        </w:rPr>
        <w:t>la educación para el trabajo y el desarrollo humano en Bogotá D.C., de acuerdo con las siguientes definiciones:</w:t>
      </w:r>
    </w:p>
    <w:p w14:paraId="3F3A7BB3" w14:textId="77777777" w:rsidR="00B43C29" w:rsidRPr="00B43C29" w:rsidRDefault="00B43C29" w:rsidP="00B43C29">
      <w:pPr>
        <w:tabs>
          <w:tab w:val="left" w:pos="6810"/>
        </w:tabs>
        <w:jc w:val="both"/>
        <w:rPr>
          <w:rFonts w:ascii="Tahoma" w:hAnsi="Tahoma" w:cs="Tahoma"/>
          <w:bCs/>
          <w:sz w:val="20"/>
          <w:szCs w:val="20"/>
          <w:lang w:val="es-ES"/>
        </w:rPr>
      </w:pPr>
    </w:p>
    <w:p w14:paraId="41A84F81" w14:textId="77777777" w:rsidR="00B43C29" w:rsidRPr="00B43C29" w:rsidRDefault="00B43C29" w:rsidP="00B43C29">
      <w:pPr>
        <w:numPr>
          <w:ilvl w:val="1"/>
          <w:numId w:val="6"/>
        </w:numPr>
        <w:tabs>
          <w:tab w:val="left" w:pos="6810"/>
        </w:tabs>
        <w:jc w:val="both"/>
        <w:rPr>
          <w:rFonts w:ascii="Tahoma" w:hAnsi="Tahoma" w:cs="Tahoma"/>
          <w:bCs/>
          <w:sz w:val="20"/>
          <w:szCs w:val="20"/>
          <w:lang w:val="es-ES"/>
        </w:rPr>
      </w:pPr>
      <w:r w:rsidRPr="00B43C29">
        <w:rPr>
          <w:rFonts w:ascii="Tahoma" w:hAnsi="Tahoma" w:cs="Tahoma"/>
          <w:b/>
          <w:sz w:val="20"/>
          <w:szCs w:val="20"/>
          <w:lang w:val="es-ES"/>
        </w:rPr>
        <w:t>Institución de educación para el trabajo y desarrollo humano (IETDH).</w:t>
      </w:r>
      <w:r w:rsidRPr="00B43C29">
        <w:rPr>
          <w:rFonts w:ascii="Tahoma" w:hAnsi="Tahoma" w:cs="Tahoma"/>
          <w:bCs/>
          <w:sz w:val="20"/>
          <w:szCs w:val="20"/>
          <w:lang w:val="es-ES"/>
        </w:rPr>
        <w:t xml:space="preserve"> Toda institución de carácter estatal o privada organizada para ofrecer y desarrollar programas de formación laboral o de formación académica de acuerdo con lo establecido en la Ley 115 de 1994, para lo cual debe cumplir con unos requisitos contemplados en el artículo 2.6.3.1 y siguientes del Decreto 1075 de 2015.</w:t>
      </w:r>
    </w:p>
    <w:p w14:paraId="70FEDAA8" w14:textId="77777777" w:rsidR="00B43C29" w:rsidRPr="00B43C29" w:rsidRDefault="00B43C29" w:rsidP="00B43C29">
      <w:pPr>
        <w:tabs>
          <w:tab w:val="left" w:pos="6810"/>
        </w:tabs>
        <w:jc w:val="both"/>
        <w:rPr>
          <w:rFonts w:ascii="Tahoma" w:hAnsi="Tahoma" w:cs="Tahoma"/>
          <w:bCs/>
          <w:sz w:val="20"/>
          <w:szCs w:val="20"/>
          <w:lang w:val="es-ES"/>
        </w:rPr>
      </w:pPr>
    </w:p>
    <w:p w14:paraId="7C175437" w14:textId="42AE914A" w:rsidR="00B43C29" w:rsidRPr="00B43C29" w:rsidRDefault="00B43C29" w:rsidP="00B43C29">
      <w:pPr>
        <w:numPr>
          <w:ilvl w:val="1"/>
          <w:numId w:val="6"/>
        </w:numPr>
        <w:tabs>
          <w:tab w:val="left" w:pos="6810"/>
        </w:tabs>
        <w:jc w:val="both"/>
        <w:rPr>
          <w:rFonts w:ascii="Tahoma" w:hAnsi="Tahoma" w:cs="Tahoma"/>
          <w:bCs/>
          <w:sz w:val="20"/>
          <w:szCs w:val="20"/>
          <w:lang w:val="es-ES"/>
        </w:rPr>
      </w:pPr>
      <w:r w:rsidRPr="00B43C29">
        <w:rPr>
          <w:rFonts w:ascii="Tahoma" w:hAnsi="Tahoma" w:cs="Tahoma"/>
          <w:b/>
          <w:sz w:val="20"/>
          <w:szCs w:val="20"/>
          <w:lang w:val="es-ES"/>
        </w:rPr>
        <w:t>Licencia de funcionamiento</w:t>
      </w:r>
      <w:r w:rsidRPr="00B43C29">
        <w:rPr>
          <w:rFonts w:ascii="Tahoma" w:hAnsi="Tahoma" w:cs="Tahoma"/>
          <w:bCs/>
          <w:sz w:val="20"/>
          <w:szCs w:val="20"/>
          <w:lang w:val="es-ES"/>
        </w:rPr>
        <w:t xml:space="preserve">. Es el acto administrativo por medio del cual la Secretaría de Educación </w:t>
      </w:r>
      <w:r w:rsidR="00913FB4">
        <w:rPr>
          <w:rFonts w:ascii="Tahoma" w:hAnsi="Tahoma" w:cs="Tahoma"/>
          <w:bCs/>
          <w:sz w:val="20"/>
          <w:szCs w:val="20"/>
          <w:lang w:val="es-ES"/>
        </w:rPr>
        <w:t xml:space="preserve">del Distrito </w:t>
      </w:r>
      <w:r w:rsidRPr="00B43C29">
        <w:rPr>
          <w:rFonts w:ascii="Tahoma" w:hAnsi="Tahoma" w:cs="Tahoma"/>
          <w:bCs/>
          <w:sz w:val="20"/>
          <w:szCs w:val="20"/>
          <w:lang w:val="es-ES"/>
        </w:rPr>
        <w:t>autoriza la creación, organización y funcionamiento de Instituciones de Educación para el Trabajo y el Desarrollo Humano de naturaleza privada. Esta se otorga por tiempo indefinido sujeta al cumplimiento de las condiciones en ella establecidas y en ella se especifica su propietario.</w:t>
      </w:r>
    </w:p>
    <w:p w14:paraId="2606C57B" w14:textId="77777777" w:rsidR="00B43C29" w:rsidRPr="00B43C29" w:rsidRDefault="00B43C29" w:rsidP="00B43C29">
      <w:pPr>
        <w:tabs>
          <w:tab w:val="left" w:pos="6810"/>
        </w:tabs>
        <w:jc w:val="both"/>
        <w:rPr>
          <w:rFonts w:ascii="Tahoma" w:hAnsi="Tahoma" w:cs="Tahoma"/>
          <w:bCs/>
          <w:sz w:val="20"/>
          <w:szCs w:val="20"/>
          <w:lang w:val="es-ES"/>
        </w:rPr>
      </w:pPr>
    </w:p>
    <w:p w14:paraId="6CD2D121" w14:textId="77777777" w:rsidR="00B43C29" w:rsidRPr="00B43C29" w:rsidRDefault="00B43C29" w:rsidP="00B43C29">
      <w:pPr>
        <w:numPr>
          <w:ilvl w:val="1"/>
          <w:numId w:val="6"/>
        </w:numPr>
        <w:tabs>
          <w:tab w:val="left" w:pos="6810"/>
        </w:tabs>
        <w:jc w:val="both"/>
        <w:rPr>
          <w:rFonts w:ascii="Tahoma" w:hAnsi="Tahoma" w:cs="Tahoma"/>
          <w:bCs/>
          <w:sz w:val="20"/>
          <w:szCs w:val="20"/>
          <w:lang w:val="es-ES"/>
        </w:rPr>
      </w:pPr>
      <w:r w:rsidRPr="00B43C29">
        <w:rPr>
          <w:rFonts w:ascii="Tahoma" w:hAnsi="Tahoma" w:cs="Tahoma"/>
          <w:b/>
          <w:sz w:val="20"/>
          <w:szCs w:val="20"/>
          <w:lang w:val="es-ES"/>
        </w:rPr>
        <w:t>Sede principal</w:t>
      </w:r>
      <w:r w:rsidRPr="00B43C29">
        <w:rPr>
          <w:rFonts w:ascii="Tahoma" w:hAnsi="Tahoma" w:cs="Tahoma"/>
          <w:bCs/>
          <w:sz w:val="20"/>
          <w:szCs w:val="20"/>
          <w:lang w:val="es-ES"/>
        </w:rPr>
        <w:t>. Es el lugar que la institución de educación para el trabajo y desarrollo humano defina como principal para el desarrollo de la prestación del servicio educativo y en ella cumple sus funciones pedagógicas y administrativas.</w:t>
      </w:r>
    </w:p>
    <w:p w14:paraId="6EADC9D5" w14:textId="77777777" w:rsidR="00B43C29" w:rsidRPr="00B43C29" w:rsidRDefault="00B43C29" w:rsidP="00B43C29">
      <w:pPr>
        <w:tabs>
          <w:tab w:val="left" w:pos="6810"/>
        </w:tabs>
        <w:jc w:val="both"/>
        <w:rPr>
          <w:rFonts w:ascii="Tahoma" w:hAnsi="Tahoma" w:cs="Tahoma"/>
          <w:bCs/>
          <w:sz w:val="20"/>
          <w:szCs w:val="20"/>
          <w:lang w:val="es-ES"/>
        </w:rPr>
      </w:pPr>
    </w:p>
    <w:p w14:paraId="1C24F17C" w14:textId="77777777" w:rsidR="00B43C29" w:rsidRPr="00B43C29" w:rsidRDefault="00B43C29" w:rsidP="00B43C29">
      <w:pPr>
        <w:numPr>
          <w:ilvl w:val="1"/>
          <w:numId w:val="6"/>
        </w:numPr>
        <w:tabs>
          <w:tab w:val="left" w:pos="6810"/>
        </w:tabs>
        <w:jc w:val="both"/>
        <w:rPr>
          <w:rFonts w:ascii="Tahoma" w:hAnsi="Tahoma" w:cs="Tahoma"/>
          <w:bCs/>
          <w:sz w:val="20"/>
          <w:szCs w:val="20"/>
          <w:lang w:val="es-ES"/>
        </w:rPr>
      </w:pPr>
      <w:r w:rsidRPr="00B43C29">
        <w:rPr>
          <w:rFonts w:ascii="Tahoma" w:hAnsi="Tahoma" w:cs="Tahoma"/>
          <w:b/>
          <w:sz w:val="20"/>
          <w:szCs w:val="20"/>
          <w:lang w:val="es-ES"/>
        </w:rPr>
        <w:t>Sede accesoria</w:t>
      </w:r>
      <w:r w:rsidRPr="00B43C29">
        <w:rPr>
          <w:rFonts w:ascii="Tahoma" w:hAnsi="Tahoma" w:cs="Tahoma"/>
          <w:bCs/>
          <w:sz w:val="20"/>
          <w:szCs w:val="20"/>
          <w:lang w:val="es-ES"/>
        </w:rPr>
        <w:t>. Es un lugar diferente de la sede principal donde se lleva a cabo la prestación del servicio de educación para el trabajo y desarrollo humano.</w:t>
      </w:r>
    </w:p>
    <w:p w14:paraId="5050D453" w14:textId="77777777" w:rsidR="00B43C29" w:rsidRPr="00B43C29" w:rsidRDefault="00B43C29" w:rsidP="00B43C29">
      <w:pPr>
        <w:tabs>
          <w:tab w:val="left" w:pos="6810"/>
        </w:tabs>
        <w:jc w:val="both"/>
        <w:rPr>
          <w:rFonts w:ascii="Tahoma" w:hAnsi="Tahoma" w:cs="Tahoma"/>
          <w:bCs/>
          <w:sz w:val="20"/>
          <w:szCs w:val="20"/>
          <w:lang w:val="es-ES"/>
        </w:rPr>
      </w:pPr>
    </w:p>
    <w:p w14:paraId="47EE496C" w14:textId="77777777" w:rsidR="00B43C29" w:rsidRPr="00B43C29" w:rsidRDefault="00B43C29" w:rsidP="00B43C29">
      <w:pPr>
        <w:numPr>
          <w:ilvl w:val="1"/>
          <w:numId w:val="6"/>
        </w:numPr>
        <w:tabs>
          <w:tab w:val="left" w:pos="6810"/>
        </w:tabs>
        <w:jc w:val="both"/>
        <w:rPr>
          <w:rFonts w:ascii="Tahoma" w:hAnsi="Tahoma" w:cs="Tahoma"/>
          <w:bCs/>
          <w:sz w:val="20"/>
          <w:szCs w:val="20"/>
          <w:lang w:val="es-ES"/>
        </w:rPr>
      </w:pPr>
      <w:r w:rsidRPr="00B43C29">
        <w:rPr>
          <w:rFonts w:ascii="Tahoma" w:hAnsi="Tahoma" w:cs="Tahoma"/>
          <w:b/>
          <w:sz w:val="20"/>
          <w:szCs w:val="20"/>
          <w:lang w:val="es-ES"/>
        </w:rPr>
        <w:t>Proyecto Educativo Institucional - PEI.</w:t>
      </w:r>
      <w:r w:rsidRPr="00B43C29">
        <w:rPr>
          <w:rFonts w:ascii="Tahoma" w:hAnsi="Tahoma" w:cs="Tahoma"/>
          <w:bCs/>
          <w:sz w:val="20"/>
          <w:szCs w:val="20"/>
          <w:lang w:val="es-ES"/>
        </w:rPr>
        <w:t xml:space="preserve"> Es el documento en el que se especifican, entre otros aspectos, los principios y fines del establecimiento, los recursos docentes didácticos disponibles y </w:t>
      </w:r>
      <w:r w:rsidRPr="00B43C29">
        <w:rPr>
          <w:rFonts w:ascii="Tahoma" w:hAnsi="Tahoma" w:cs="Tahoma"/>
          <w:bCs/>
          <w:sz w:val="20"/>
          <w:szCs w:val="20"/>
          <w:lang w:val="es-ES"/>
        </w:rPr>
        <w:lastRenderedPageBreak/>
        <w:t>necesarios, la estrategia pedagógica, el reglamento para docentes y estudiantes y el sistema de gestión, todo ello encaminado a cumplir con las disposiciones de la presente Ley y sus reglamentos.</w:t>
      </w:r>
    </w:p>
    <w:p w14:paraId="1B8382D6" w14:textId="77777777" w:rsidR="00B43C29" w:rsidRPr="00B43C29" w:rsidRDefault="00B43C29" w:rsidP="00B43C29">
      <w:pPr>
        <w:tabs>
          <w:tab w:val="left" w:pos="6810"/>
        </w:tabs>
        <w:jc w:val="both"/>
        <w:rPr>
          <w:rFonts w:ascii="Tahoma" w:hAnsi="Tahoma" w:cs="Tahoma"/>
          <w:bCs/>
          <w:sz w:val="20"/>
          <w:szCs w:val="20"/>
          <w:lang w:val="es-ES"/>
        </w:rPr>
      </w:pPr>
    </w:p>
    <w:p w14:paraId="1F3F13FA" w14:textId="77777777" w:rsidR="00B43C29" w:rsidRPr="00B43C29" w:rsidRDefault="00B43C29" w:rsidP="00B43C29">
      <w:pPr>
        <w:numPr>
          <w:ilvl w:val="1"/>
          <w:numId w:val="6"/>
        </w:numPr>
        <w:tabs>
          <w:tab w:val="left" w:pos="6810"/>
        </w:tabs>
        <w:jc w:val="both"/>
        <w:rPr>
          <w:rFonts w:ascii="Tahoma" w:hAnsi="Tahoma" w:cs="Tahoma"/>
          <w:bCs/>
          <w:sz w:val="20"/>
          <w:szCs w:val="20"/>
          <w:lang w:val="es-ES"/>
        </w:rPr>
      </w:pPr>
      <w:r w:rsidRPr="00B43C29">
        <w:rPr>
          <w:rFonts w:ascii="Tahoma" w:hAnsi="Tahoma" w:cs="Tahoma"/>
          <w:b/>
          <w:sz w:val="20"/>
          <w:szCs w:val="20"/>
          <w:lang w:val="es-ES"/>
        </w:rPr>
        <w:t>Programas de formación</w:t>
      </w:r>
      <w:r w:rsidRPr="00B43C29">
        <w:rPr>
          <w:rFonts w:ascii="Tahoma" w:hAnsi="Tahoma" w:cs="Tahoma"/>
          <w:bCs/>
          <w:sz w:val="20"/>
          <w:szCs w:val="20"/>
          <w:lang w:val="es-ES"/>
        </w:rPr>
        <w:t>. Las instituciones de educación para el trabajo y el desarrollo humano pueden ofrecer programas de formación laboral y de formación académica, de acuerdo con el artículo 2.6.4.1. del Decreto 1075 de 2015.</w:t>
      </w:r>
    </w:p>
    <w:p w14:paraId="51EE1531" w14:textId="77777777" w:rsidR="00B43C29" w:rsidRPr="00B43C29" w:rsidRDefault="00B43C29" w:rsidP="00B43C29">
      <w:pPr>
        <w:tabs>
          <w:tab w:val="left" w:pos="6810"/>
        </w:tabs>
        <w:jc w:val="both"/>
        <w:rPr>
          <w:rFonts w:ascii="Tahoma" w:hAnsi="Tahoma" w:cs="Tahoma"/>
          <w:b/>
          <w:bCs/>
          <w:sz w:val="20"/>
          <w:szCs w:val="20"/>
          <w:lang w:val="es-ES"/>
        </w:rPr>
      </w:pPr>
    </w:p>
    <w:p w14:paraId="35AFDB8F" w14:textId="60EFBC3D" w:rsidR="00B43C29" w:rsidRPr="00B43C29" w:rsidRDefault="00B43C29" w:rsidP="00B43C29">
      <w:pPr>
        <w:tabs>
          <w:tab w:val="left" w:pos="6810"/>
        </w:tabs>
        <w:jc w:val="center"/>
        <w:rPr>
          <w:rFonts w:ascii="Tahoma" w:hAnsi="Tahoma" w:cs="Tahoma"/>
          <w:b/>
          <w:bCs/>
          <w:sz w:val="20"/>
          <w:szCs w:val="20"/>
          <w:lang w:val="es-ES"/>
        </w:rPr>
      </w:pPr>
      <w:r w:rsidRPr="00B43C29">
        <w:rPr>
          <w:rFonts w:ascii="Tahoma" w:hAnsi="Tahoma" w:cs="Tahoma"/>
          <w:b/>
          <w:bCs/>
          <w:sz w:val="20"/>
          <w:szCs w:val="20"/>
          <w:lang w:val="es-ES"/>
        </w:rPr>
        <w:t>TITULO 2</w:t>
      </w:r>
    </w:p>
    <w:p w14:paraId="3686BFDC" w14:textId="77777777" w:rsidR="00B43C29" w:rsidRPr="00B43C29" w:rsidRDefault="00B43C29" w:rsidP="00B43C29">
      <w:pPr>
        <w:tabs>
          <w:tab w:val="left" w:pos="6810"/>
        </w:tabs>
        <w:jc w:val="center"/>
        <w:rPr>
          <w:rFonts w:ascii="Tahoma" w:hAnsi="Tahoma" w:cs="Tahoma"/>
          <w:b/>
          <w:bCs/>
          <w:sz w:val="20"/>
          <w:szCs w:val="20"/>
          <w:lang w:val="es-ES"/>
        </w:rPr>
      </w:pPr>
      <w:r w:rsidRPr="00B43C29">
        <w:rPr>
          <w:rFonts w:ascii="Tahoma" w:hAnsi="Tahoma" w:cs="Tahoma"/>
          <w:b/>
          <w:bCs/>
          <w:sz w:val="20"/>
          <w:szCs w:val="20"/>
          <w:lang w:val="es-ES"/>
        </w:rPr>
        <w:t>Lineamientos sobre requisitos para la expedición de la licencia de funcionamiento</w:t>
      </w:r>
    </w:p>
    <w:p w14:paraId="6A7B3CA0" w14:textId="77777777" w:rsidR="00B43C29" w:rsidRPr="00B43C29" w:rsidRDefault="00B43C29" w:rsidP="00B43C29">
      <w:pPr>
        <w:tabs>
          <w:tab w:val="left" w:pos="6810"/>
        </w:tabs>
        <w:jc w:val="center"/>
        <w:rPr>
          <w:rFonts w:ascii="Tahoma" w:hAnsi="Tahoma" w:cs="Tahoma"/>
          <w:b/>
          <w:bCs/>
          <w:sz w:val="20"/>
          <w:szCs w:val="20"/>
          <w:lang w:val="es-ES"/>
        </w:rPr>
      </w:pPr>
    </w:p>
    <w:p w14:paraId="14D1C0EF"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b/>
          <w:bCs/>
          <w:sz w:val="20"/>
          <w:szCs w:val="20"/>
          <w:lang w:val="es-ES"/>
        </w:rPr>
        <w:t>Artículo 2º.- Desarrollo de los requisitos para la obtención de la licencia de funcionamiento de IETDH en Bogotá.</w:t>
      </w:r>
      <w:r w:rsidRPr="00B43C29">
        <w:rPr>
          <w:rFonts w:ascii="Tahoma" w:hAnsi="Tahoma" w:cs="Tahoma"/>
          <w:sz w:val="20"/>
          <w:szCs w:val="20"/>
          <w:lang w:val="es-ES"/>
        </w:rPr>
        <w:t xml:space="preserve"> Cualquier persona que pretenda ofrecer educación para el trabajo y el desarrollo humano deberá contar con licencia de funcionamiento y registro de al menos un (1) programa de formación, salvo los casos especiales contemplados en el artículo 4 de la presente resolución que no requieren tramitar licencia de funcionamiento.</w:t>
      </w:r>
    </w:p>
    <w:p w14:paraId="4DE35F80" w14:textId="77777777" w:rsidR="00B43C29" w:rsidRPr="00B43C29" w:rsidRDefault="00B43C29" w:rsidP="00B43C29">
      <w:pPr>
        <w:tabs>
          <w:tab w:val="left" w:pos="6810"/>
        </w:tabs>
        <w:jc w:val="both"/>
        <w:rPr>
          <w:rFonts w:ascii="Tahoma" w:hAnsi="Tahoma" w:cs="Tahoma"/>
          <w:sz w:val="20"/>
          <w:szCs w:val="20"/>
          <w:lang w:val="es-ES"/>
        </w:rPr>
      </w:pPr>
    </w:p>
    <w:p w14:paraId="26D380B3"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La solicitud de licencia de funcionamiento se deberá presentar ante la Dirección Local de Educación de la sede principal donde se pretenda ofrecer el servicio, atendiendo los requisitos contemplados en el artículo 2.6.3.4 del Decreto 1075 de 2015, sin que haya lugar a exigir ningún otro requisito para adelantar el trámite:</w:t>
      </w:r>
    </w:p>
    <w:p w14:paraId="1AFD2CA5" w14:textId="77777777" w:rsidR="00B43C29" w:rsidRPr="00B43C29" w:rsidRDefault="00B43C29" w:rsidP="00B43C29">
      <w:pPr>
        <w:tabs>
          <w:tab w:val="left" w:pos="6810"/>
        </w:tabs>
        <w:jc w:val="both"/>
        <w:rPr>
          <w:rFonts w:ascii="Tahoma" w:hAnsi="Tahoma" w:cs="Tahoma"/>
          <w:sz w:val="20"/>
          <w:szCs w:val="20"/>
          <w:lang w:val="es-ES"/>
        </w:rPr>
      </w:pPr>
    </w:p>
    <w:p w14:paraId="7DA672B4"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b/>
          <w:bCs/>
          <w:sz w:val="20"/>
          <w:szCs w:val="20"/>
          <w:lang w:val="es-ES"/>
        </w:rPr>
        <w:t>2.1 Nombre del establecimiento educativo</w:t>
      </w:r>
      <w:r w:rsidRPr="00B43C29">
        <w:rPr>
          <w:rFonts w:ascii="Tahoma" w:hAnsi="Tahoma" w:cs="Tahoma"/>
          <w:sz w:val="20"/>
          <w:szCs w:val="20"/>
          <w:lang w:val="es-ES"/>
        </w:rPr>
        <w:t>. El solicitante al definir la denominación del establecimiento educativo deberá tener en cuenta lo siguiente:</w:t>
      </w:r>
    </w:p>
    <w:p w14:paraId="758B6F81" w14:textId="77777777" w:rsidR="00B43C29" w:rsidRPr="00B43C29" w:rsidRDefault="00B43C29" w:rsidP="00B43C29">
      <w:pPr>
        <w:tabs>
          <w:tab w:val="left" w:pos="6810"/>
        </w:tabs>
        <w:jc w:val="both"/>
        <w:rPr>
          <w:rFonts w:ascii="Tahoma" w:hAnsi="Tahoma" w:cs="Tahoma"/>
          <w:sz w:val="20"/>
          <w:szCs w:val="20"/>
          <w:lang w:val="es-ES"/>
        </w:rPr>
      </w:pPr>
    </w:p>
    <w:p w14:paraId="01419B7B" w14:textId="46549FA4" w:rsidR="00B43C29" w:rsidRPr="00B43C29" w:rsidRDefault="00B43C29" w:rsidP="00B43C29">
      <w:pPr>
        <w:tabs>
          <w:tab w:val="left" w:pos="6810"/>
        </w:tabs>
        <w:jc w:val="both"/>
        <w:rPr>
          <w:rFonts w:ascii="Tahoma" w:hAnsi="Tahoma" w:cs="Tahoma"/>
          <w:sz w:val="20"/>
          <w:szCs w:val="20"/>
          <w:lang w:val="es-ES"/>
        </w:rPr>
      </w:pPr>
      <w:r w:rsidRPr="005C56BE">
        <w:rPr>
          <w:rFonts w:ascii="Tahoma" w:hAnsi="Tahoma" w:cs="Tahoma"/>
          <w:b/>
          <w:bCs/>
          <w:sz w:val="20"/>
          <w:szCs w:val="20"/>
          <w:lang w:val="es-ES"/>
        </w:rPr>
        <w:t>2.1.1</w:t>
      </w:r>
      <w:r w:rsidR="00AE6BF0" w:rsidRPr="005C56BE">
        <w:rPr>
          <w:rFonts w:ascii="Tahoma" w:hAnsi="Tahoma" w:cs="Tahoma"/>
          <w:b/>
          <w:bCs/>
          <w:sz w:val="20"/>
          <w:szCs w:val="20"/>
          <w:lang w:val="es-ES"/>
        </w:rPr>
        <w:t>.</w:t>
      </w:r>
      <w:r w:rsidRPr="00B43C29">
        <w:rPr>
          <w:rFonts w:ascii="Tahoma" w:hAnsi="Tahoma" w:cs="Tahoma"/>
          <w:sz w:val="20"/>
          <w:szCs w:val="20"/>
          <w:lang w:val="es-ES"/>
        </w:rPr>
        <w:t xml:space="preserve"> No podrá adoptarse un nombre, sigla o símbolo distintivo o cualquier otro tipo de denominación o identificación institucional que contenga expresiones propias de la educación superior, conforme lo señalado en el artículo 2.6.3.4 del Decreto 1075 de 2015 o que induzca a confusión o error a la comunidad educativa sobre la identificación del prestador del servicio.</w:t>
      </w:r>
    </w:p>
    <w:p w14:paraId="4CF67BA6" w14:textId="77777777" w:rsidR="00B43C29" w:rsidRPr="00B43C29" w:rsidRDefault="00B43C29" w:rsidP="00B43C29">
      <w:pPr>
        <w:tabs>
          <w:tab w:val="left" w:pos="6810"/>
        </w:tabs>
        <w:jc w:val="both"/>
        <w:rPr>
          <w:rFonts w:ascii="Tahoma" w:hAnsi="Tahoma" w:cs="Tahoma"/>
          <w:sz w:val="20"/>
          <w:szCs w:val="20"/>
          <w:lang w:val="es-ES"/>
        </w:rPr>
      </w:pPr>
    </w:p>
    <w:p w14:paraId="26F27177" w14:textId="23667EFC" w:rsidR="00B43C29" w:rsidRPr="00B43C29" w:rsidRDefault="00B43C29" w:rsidP="00B43C29">
      <w:pPr>
        <w:tabs>
          <w:tab w:val="left" w:pos="6810"/>
        </w:tabs>
        <w:jc w:val="both"/>
        <w:rPr>
          <w:rFonts w:ascii="Tahoma" w:hAnsi="Tahoma" w:cs="Tahoma"/>
          <w:sz w:val="20"/>
          <w:szCs w:val="20"/>
          <w:lang w:val="es-ES"/>
        </w:rPr>
      </w:pPr>
      <w:r w:rsidRPr="005C56BE">
        <w:rPr>
          <w:rFonts w:ascii="Tahoma" w:hAnsi="Tahoma" w:cs="Tahoma"/>
          <w:b/>
          <w:bCs/>
          <w:sz w:val="20"/>
          <w:szCs w:val="20"/>
          <w:lang w:val="es-ES"/>
        </w:rPr>
        <w:t>2.1.2</w:t>
      </w:r>
      <w:r w:rsidR="00AE6BF0">
        <w:rPr>
          <w:rFonts w:ascii="Tahoma" w:hAnsi="Tahoma" w:cs="Tahoma"/>
          <w:sz w:val="20"/>
          <w:szCs w:val="20"/>
          <w:lang w:val="es-ES"/>
        </w:rPr>
        <w:t>.</w:t>
      </w:r>
      <w:r w:rsidRPr="00B43C29">
        <w:rPr>
          <w:rFonts w:ascii="Tahoma" w:hAnsi="Tahoma" w:cs="Tahoma"/>
          <w:sz w:val="20"/>
          <w:szCs w:val="20"/>
          <w:lang w:val="es-ES"/>
        </w:rPr>
        <w:t xml:space="preserve"> La denominación no puede incluir expresiones propias de la metodología de la prestación del servicio educativo tales como “virtual”, “a distancia” y/o “asincrónica”, por cuanto estas expresiones son propias del registro de programas, de conformidad con lo señalado en el artículo 2.6.4.5 del Decreto 1075 de 2015.</w:t>
      </w:r>
    </w:p>
    <w:p w14:paraId="3DF79F39" w14:textId="77777777" w:rsidR="00B43C29" w:rsidRPr="00B43C29" w:rsidRDefault="00B43C29" w:rsidP="00B43C29">
      <w:pPr>
        <w:tabs>
          <w:tab w:val="left" w:pos="6810"/>
        </w:tabs>
        <w:jc w:val="both"/>
        <w:rPr>
          <w:rFonts w:ascii="Tahoma" w:hAnsi="Tahoma" w:cs="Tahoma"/>
          <w:sz w:val="20"/>
          <w:szCs w:val="20"/>
          <w:lang w:val="es-ES"/>
        </w:rPr>
      </w:pPr>
    </w:p>
    <w:p w14:paraId="5FA42200" w14:textId="437631B0" w:rsidR="00B43C29" w:rsidRPr="00B43C29" w:rsidRDefault="00B43C29" w:rsidP="00B43C29">
      <w:pPr>
        <w:tabs>
          <w:tab w:val="left" w:pos="6810"/>
        </w:tabs>
        <w:jc w:val="both"/>
        <w:rPr>
          <w:rFonts w:ascii="Tahoma" w:hAnsi="Tahoma" w:cs="Tahoma"/>
          <w:sz w:val="20"/>
          <w:szCs w:val="20"/>
          <w:lang w:val="es-ES"/>
        </w:rPr>
      </w:pPr>
      <w:r w:rsidRPr="005C56BE">
        <w:rPr>
          <w:rFonts w:ascii="Tahoma" w:hAnsi="Tahoma" w:cs="Tahoma"/>
          <w:b/>
          <w:bCs/>
          <w:sz w:val="20"/>
          <w:szCs w:val="20"/>
          <w:lang w:val="es-ES"/>
        </w:rPr>
        <w:t>2.2</w:t>
      </w:r>
      <w:r w:rsidR="00AE6BF0">
        <w:rPr>
          <w:rFonts w:ascii="Tahoma" w:hAnsi="Tahoma" w:cs="Tahoma"/>
          <w:sz w:val="20"/>
          <w:szCs w:val="20"/>
          <w:lang w:val="es-ES"/>
        </w:rPr>
        <w:t>.</w:t>
      </w:r>
      <w:r w:rsidRPr="00B43C29">
        <w:rPr>
          <w:rFonts w:ascii="Tahoma" w:hAnsi="Tahoma" w:cs="Tahoma"/>
          <w:sz w:val="20"/>
          <w:szCs w:val="20"/>
          <w:lang w:val="es-ES"/>
        </w:rPr>
        <w:t xml:space="preserve"> Número de sedes, municipios y dirección de cada una de las sedes de la institución. El solicitante deberá relacionar las sedes existentes con licencia de funcionamiento (si es el caso) y las sedes que proyecta crear, con sus respectivos datos de ubicación.</w:t>
      </w:r>
    </w:p>
    <w:p w14:paraId="36B9411A" w14:textId="77777777" w:rsidR="00B43C29" w:rsidRPr="00B43C29" w:rsidRDefault="00B43C29" w:rsidP="00B43C29">
      <w:pPr>
        <w:tabs>
          <w:tab w:val="left" w:pos="6810"/>
        </w:tabs>
        <w:jc w:val="both"/>
        <w:rPr>
          <w:rFonts w:ascii="Tahoma" w:hAnsi="Tahoma" w:cs="Tahoma"/>
          <w:sz w:val="20"/>
          <w:szCs w:val="20"/>
          <w:lang w:val="es-ES"/>
        </w:rPr>
      </w:pPr>
    </w:p>
    <w:p w14:paraId="7C0359E2" w14:textId="19AF605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La institución deberá señalar cuál de las sedes que proyecta crear corresponde a la sede principal y cuáles son accesorias. En todo caso, deben cumplir con los requisitos legales para operar, de conformidad con las normas que regulan la materia.</w:t>
      </w:r>
    </w:p>
    <w:p w14:paraId="279C3255" w14:textId="77777777" w:rsidR="00B43C29" w:rsidRPr="00B43C29" w:rsidRDefault="00B43C29" w:rsidP="00B43C29">
      <w:pPr>
        <w:tabs>
          <w:tab w:val="left" w:pos="6810"/>
        </w:tabs>
        <w:jc w:val="both"/>
        <w:rPr>
          <w:rFonts w:ascii="Tahoma" w:hAnsi="Tahoma" w:cs="Tahoma"/>
          <w:sz w:val="20"/>
          <w:szCs w:val="20"/>
          <w:lang w:val="es-ES"/>
        </w:rPr>
      </w:pPr>
    </w:p>
    <w:p w14:paraId="2E43AAD7" w14:textId="15512829" w:rsidR="00B43C29" w:rsidRPr="00B43C29" w:rsidRDefault="00B43C29" w:rsidP="00B43C29">
      <w:pPr>
        <w:tabs>
          <w:tab w:val="left" w:pos="6810"/>
        </w:tabs>
        <w:jc w:val="both"/>
        <w:rPr>
          <w:rFonts w:ascii="Tahoma" w:hAnsi="Tahoma" w:cs="Tahoma"/>
          <w:sz w:val="20"/>
          <w:szCs w:val="20"/>
          <w:lang w:val="es-ES"/>
        </w:rPr>
      </w:pPr>
      <w:r w:rsidRPr="005C56BE">
        <w:rPr>
          <w:rFonts w:ascii="Tahoma" w:hAnsi="Tahoma" w:cs="Tahoma"/>
          <w:b/>
          <w:bCs/>
          <w:sz w:val="20"/>
          <w:szCs w:val="20"/>
          <w:lang w:val="es-ES"/>
        </w:rPr>
        <w:t>2.3</w:t>
      </w:r>
      <w:r w:rsidR="00AE6BF0" w:rsidRPr="005C56BE">
        <w:rPr>
          <w:rFonts w:ascii="Tahoma" w:hAnsi="Tahoma" w:cs="Tahoma"/>
          <w:b/>
          <w:bCs/>
          <w:sz w:val="20"/>
          <w:szCs w:val="20"/>
          <w:lang w:val="es-ES"/>
        </w:rPr>
        <w:t>.</w:t>
      </w:r>
      <w:r w:rsidRPr="00B43C29">
        <w:rPr>
          <w:rFonts w:ascii="Tahoma" w:hAnsi="Tahoma" w:cs="Tahoma"/>
          <w:sz w:val="20"/>
          <w:szCs w:val="20"/>
          <w:lang w:val="es-ES"/>
        </w:rPr>
        <w:t xml:space="preserve"> </w:t>
      </w:r>
      <w:r w:rsidRPr="005C56BE">
        <w:rPr>
          <w:rFonts w:ascii="Tahoma" w:hAnsi="Tahoma" w:cs="Tahoma"/>
          <w:b/>
          <w:bCs/>
          <w:sz w:val="20"/>
          <w:szCs w:val="20"/>
          <w:lang w:val="es-ES"/>
        </w:rPr>
        <w:t>Datos del propietario o representante legal</w:t>
      </w:r>
      <w:r w:rsidRPr="00B43C29">
        <w:rPr>
          <w:rFonts w:ascii="Tahoma" w:hAnsi="Tahoma" w:cs="Tahoma"/>
          <w:sz w:val="20"/>
          <w:szCs w:val="20"/>
          <w:lang w:val="es-ES"/>
        </w:rPr>
        <w:t>. Si es persona natural el</w:t>
      </w:r>
      <w:r w:rsidRPr="00B43C29" w:rsidDel="00F063B3">
        <w:rPr>
          <w:rFonts w:ascii="Tahoma" w:hAnsi="Tahoma" w:cs="Tahoma"/>
          <w:sz w:val="20"/>
          <w:szCs w:val="20"/>
          <w:lang w:val="es-ES"/>
        </w:rPr>
        <w:t xml:space="preserve"> </w:t>
      </w:r>
      <w:r w:rsidRPr="00B43C29">
        <w:rPr>
          <w:rFonts w:ascii="Tahoma" w:hAnsi="Tahoma" w:cs="Tahoma"/>
          <w:sz w:val="20"/>
          <w:szCs w:val="20"/>
          <w:lang w:val="es-ES"/>
        </w:rPr>
        <w:t xml:space="preserve">solicitante deberá ser mayor de edad y aportar copia legible del documento de identificación y cuando el solicitante sea persona jurídica deberá </w:t>
      </w:r>
      <w:r w:rsidRPr="00B43C29">
        <w:rPr>
          <w:rFonts w:ascii="Tahoma" w:hAnsi="Tahoma" w:cs="Tahoma"/>
          <w:sz w:val="20"/>
          <w:szCs w:val="20"/>
          <w:lang w:val="es-ES"/>
        </w:rPr>
        <w:lastRenderedPageBreak/>
        <w:t>aportar copia legible del certificado de existencia y representación legal, con una fecha de expedición no mayor a treinta (30) días.</w:t>
      </w:r>
    </w:p>
    <w:p w14:paraId="74FDCA47" w14:textId="77777777" w:rsidR="00B43C29" w:rsidRPr="00B43C29" w:rsidRDefault="00B43C29" w:rsidP="00B43C29">
      <w:pPr>
        <w:tabs>
          <w:tab w:val="left" w:pos="6810"/>
        </w:tabs>
        <w:jc w:val="both"/>
        <w:rPr>
          <w:rFonts w:ascii="Tahoma" w:hAnsi="Tahoma" w:cs="Tahoma"/>
          <w:sz w:val="20"/>
          <w:szCs w:val="20"/>
          <w:lang w:val="es-ES"/>
        </w:rPr>
      </w:pPr>
    </w:p>
    <w:p w14:paraId="4745ED45" w14:textId="38FC2E9B" w:rsidR="00B43C29" w:rsidRPr="00B43C29" w:rsidRDefault="00B43C29" w:rsidP="00B43C29">
      <w:pPr>
        <w:tabs>
          <w:tab w:val="left" w:pos="6810"/>
        </w:tabs>
        <w:jc w:val="both"/>
        <w:rPr>
          <w:rFonts w:ascii="Tahoma" w:hAnsi="Tahoma" w:cs="Tahoma"/>
          <w:sz w:val="20"/>
          <w:szCs w:val="20"/>
          <w:lang w:val="es-ES"/>
        </w:rPr>
      </w:pPr>
      <w:r w:rsidRPr="005C56BE">
        <w:rPr>
          <w:rFonts w:ascii="Tahoma" w:hAnsi="Tahoma" w:cs="Tahoma"/>
          <w:b/>
          <w:bCs/>
          <w:sz w:val="20"/>
          <w:szCs w:val="20"/>
          <w:lang w:val="es-ES"/>
        </w:rPr>
        <w:t>2.4</w:t>
      </w:r>
      <w:r w:rsidR="00AE6BF0" w:rsidRPr="005C56BE">
        <w:rPr>
          <w:rFonts w:ascii="Tahoma" w:hAnsi="Tahoma" w:cs="Tahoma"/>
          <w:b/>
          <w:bCs/>
          <w:sz w:val="20"/>
          <w:szCs w:val="20"/>
          <w:lang w:val="es-ES"/>
        </w:rPr>
        <w:t>.</w:t>
      </w:r>
      <w:r w:rsidRPr="00B43C29">
        <w:rPr>
          <w:rFonts w:ascii="Tahoma" w:hAnsi="Tahoma" w:cs="Tahoma"/>
          <w:sz w:val="20"/>
          <w:szCs w:val="20"/>
          <w:lang w:val="es-ES"/>
        </w:rPr>
        <w:t xml:space="preserve"> </w:t>
      </w:r>
      <w:r w:rsidRPr="005C56BE">
        <w:rPr>
          <w:rFonts w:ascii="Tahoma" w:hAnsi="Tahoma" w:cs="Tahoma"/>
          <w:b/>
          <w:bCs/>
          <w:sz w:val="20"/>
          <w:szCs w:val="20"/>
          <w:lang w:val="es-ES"/>
        </w:rPr>
        <w:t>Principios y fines de la institución educativa</w:t>
      </w:r>
      <w:r w:rsidRPr="00B43C29">
        <w:rPr>
          <w:rFonts w:ascii="Tahoma" w:hAnsi="Tahoma" w:cs="Tahoma"/>
          <w:sz w:val="20"/>
          <w:szCs w:val="20"/>
          <w:lang w:val="es-ES"/>
        </w:rPr>
        <w:t xml:space="preserve">. El solicitante deberá relacionar en el Proyecto Educativo Institucional la misión, visión, objetivos y fines de la institución educativa, de conformidad con lo señalado en los artículos 73 y 138 de la Ley 115 de 1994 y el artículo 2.6.2.2 del Decreto 1075 de 2015. </w:t>
      </w:r>
    </w:p>
    <w:p w14:paraId="60AC440F" w14:textId="77777777" w:rsidR="00B43C29" w:rsidRPr="00B43C29" w:rsidRDefault="00B43C29" w:rsidP="00B43C29">
      <w:pPr>
        <w:tabs>
          <w:tab w:val="left" w:pos="6810"/>
        </w:tabs>
        <w:jc w:val="both"/>
        <w:rPr>
          <w:rFonts w:ascii="Tahoma" w:hAnsi="Tahoma" w:cs="Tahoma"/>
          <w:sz w:val="20"/>
          <w:szCs w:val="20"/>
          <w:lang w:val="es-ES"/>
        </w:rPr>
      </w:pPr>
    </w:p>
    <w:p w14:paraId="4BBBE50A" w14:textId="26B2546C" w:rsidR="00B43C29" w:rsidRPr="00B43C29" w:rsidRDefault="00B43C29" w:rsidP="00B43C29">
      <w:pPr>
        <w:tabs>
          <w:tab w:val="left" w:pos="6810"/>
        </w:tabs>
        <w:jc w:val="both"/>
        <w:rPr>
          <w:rFonts w:ascii="Tahoma" w:hAnsi="Tahoma" w:cs="Tahoma"/>
          <w:sz w:val="20"/>
          <w:szCs w:val="20"/>
          <w:lang w:val="es-ES"/>
        </w:rPr>
      </w:pPr>
      <w:r w:rsidRPr="005C56BE">
        <w:rPr>
          <w:rFonts w:ascii="Tahoma" w:hAnsi="Tahoma" w:cs="Tahoma"/>
          <w:b/>
          <w:bCs/>
          <w:sz w:val="20"/>
          <w:szCs w:val="20"/>
          <w:lang w:val="es-ES"/>
        </w:rPr>
        <w:t>2.5</w:t>
      </w:r>
      <w:r w:rsidR="00AE6BF0">
        <w:rPr>
          <w:rFonts w:ascii="Tahoma" w:hAnsi="Tahoma" w:cs="Tahoma"/>
          <w:sz w:val="20"/>
          <w:szCs w:val="20"/>
          <w:lang w:val="es-ES"/>
        </w:rPr>
        <w:t>.</w:t>
      </w:r>
      <w:r w:rsidRPr="00B43C29">
        <w:rPr>
          <w:rFonts w:ascii="Tahoma" w:hAnsi="Tahoma" w:cs="Tahoma"/>
          <w:sz w:val="20"/>
          <w:szCs w:val="20"/>
          <w:lang w:val="es-ES"/>
        </w:rPr>
        <w:t xml:space="preserve"> </w:t>
      </w:r>
      <w:r w:rsidRPr="004764C3">
        <w:rPr>
          <w:rFonts w:ascii="Tahoma" w:hAnsi="Tahoma" w:cs="Tahoma"/>
          <w:b/>
          <w:bCs/>
          <w:sz w:val="20"/>
          <w:szCs w:val="20"/>
          <w:lang w:val="es-ES"/>
        </w:rPr>
        <w:t>Programa(s) que proyecta desarrollar por jornada(s).</w:t>
      </w:r>
      <w:r w:rsidRPr="00B43C29">
        <w:rPr>
          <w:rFonts w:ascii="Tahoma" w:hAnsi="Tahoma" w:cs="Tahoma"/>
          <w:sz w:val="20"/>
          <w:szCs w:val="20"/>
          <w:lang w:val="es-ES"/>
        </w:rPr>
        <w:t xml:space="preserve"> El</w:t>
      </w:r>
      <w:r w:rsidRPr="00B43C29" w:rsidDel="00F063B3">
        <w:rPr>
          <w:rFonts w:ascii="Tahoma" w:hAnsi="Tahoma" w:cs="Tahoma"/>
          <w:sz w:val="20"/>
          <w:szCs w:val="20"/>
          <w:lang w:val="es-ES"/>
        </w:rPr>
        <w:t xml:space="preserve"> </w:t>
      </w:r>
      <w:r w:rsidRPr="00B43C29">
        <w:rPr>
          <w:rFonts w:ascii="Tahoma" w:hAnsi="Tahoma" w:cs="Tahoma"/>
          <w:sz w:val="20"/>
          <w:szCs w:val="20"/>
          <w:lang w:val="es-ES"/>
        </w:rPr>
        <w:t xml:space="preserve">solicitante deberá presentar por lo menos un (1) programa debidamente estructurado según la metodología que pretende ofrecer (presencial y a distancia) y la jornada (diurna, nocturna y fines de semana) en cumplimiento de lo establecido en el artículo 2.6.4.8 del Decreto 1075 de 2015. </w:t>
      </w:r>
    </w:p>
    <w:p w14:paraId="024E9890" w14:textId="77777777" w:rsidR="00B43C29" w:rsidRPr="00B43C29" w:rsidRDefault="00B43C29" w:rsidP="00B43C29">
      <w:pPr>
        <w:tabs>
          <w:tab w:val="left" w:pos="6810"/>
        </w:tabs>
        <w:jc w:val="both"/>
        <w:rPr>
          <w:rFonts w:ascii="Tahoma" w:hAnsi="Tahoma" w:cs="Tahoma"/>
          <w:sz w:val="20"/>
          <w:szCs w:val="20"/>
          <w:lang w:val="es-ES"/>
        </w:rPr>
      </w:pPr>
    </w:p>
    <w:p w14:paraId="1C3F7D51"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Cuando se proyecte ofrecer un programa con la metodología presencial, a distancia y/o a distancia con estrategia de educación virtual, la respectiva institución deberá contar con sede física, estructura administrativa y medios educativos adecuados de acuerdo con lo previsto en el literal b) del artículo 138 de la Ley 115 de 1994. Si se trata de un programa a distancia y/o a distancia con estrategia de educación virtual, deberá cumplir con la infraestructura tecnológica que permita el adecuado funcionamiento según lo previsto en el artículo 5 de la Resolución No. 015177 de 2022 del Ministerio de Educación Nacional.</w:t>
      </w:r>
    </w:p>
    <w:p w14:paraId="4AB75E53" w14:textId="77777777" w:rsidR="00B43C29" w:rsidRPr="00B43C29" w:rsidRDefault="00B43C29" w:rsidP="00B43C29">
      <w:pPr>
        <w:tabs>
          <w:tab w:val="left" w:pos="6810"/>
        </w:tabs>
        <w:jc w:val="both"/>
        <w:rPr>
          <w:rFonts w:ascii="Tahoma" w:hAnsi="Tahoma" w:cs="Tahoma"/>
          <w:sz w:val="20"/>
          <w:szCs w:val="20"/>
          <w:lang w:val="es-ES"/>
        </w:rPr>
      </w:pPr>
    </w:p>
    <w:p w14:paraId="77AA7515" w14:textId="77777777" w:rsidR="00B43C29" w:rsidRPr="00B43C29" w:rsidRDefault="00B43C29" w:rsidP="00B43C29">
      <w:pPr>
        <w:tabs>
          <w:tab w:val="left" w:pos="6810"/>
        </w:tabs>
        <w:jc w:val="both"/>
        <w:rPr>
          <w:rFonts w:ascii="Tahoma" w:hAnsi="Tahoma" w:cs="Tahoma"/>
          <w:sz w:val="20"/>
          <w:szCs w:val="20"/>
          <w:lang w:val="es-ES"/>
        </w:rPr>
      </w:pPr>
      <w:r w:rsidRPr="004764C3">
        <w:rPr>
          <w:rFonts w:ascii="Tahoma" w:hAnsi="Tahoma" w:cs="Tahoma"/>
          <w:b/>
          <w:bCs/>
          <w:sz w:val="20"/>
          <w:szCs w:val="20"/>
          <w:lang w:val="es-ES"/>
        </w:rPr>
        <w:t>2.6 Número de estudiantes que proyecta atender.</w:t>
      </w:r>
      <w:r w:rsidRPr="00B43C29">
        <w:rPr>
          <w:rFonts w:ascii="Tahoma" w:hAnsi="Tahoma" w:cs="Tahoma"/>
          <w:sz w:val="20"/>
          <w:szCs w:val="20"/>
          <w:lang w:val="es-ES"/>
        </w:rPr>
        <w:t xml:space="preserve"> El solicitante deberá señalar en el PEI el número estimado de estudiantes que pretenda atender, según la capacidad instalada de la infraestructura física y para ello deberá tener en cuenta la fecha de expedición de la licencia de construcción, de la siguiente manera:</w:t>
      </w:r>
    </w:p>
    <w:p w14:paraId="615AAC26" w14:textId="77777777" w:rsidR="00B43C29" w:rsidRPr="00B43C29" w:rsidRDefault="00B43C29" w:rsidP="00B43C29">
      <w:pPr>
        <w:tabs>
          <w:tab w:val="left" w:pos="6810"/>
        </w:tabs>
        <w:jc w:val="both"/>
        <w:rPr>
          <w:rFonts w:ascii="Tahoma" w:hAnsi="Tahoma" w:cs="Tahoma"/>
          <w:sz w:val="20"/>
          <w:szCs w:val="20"/>
          <w:lang w:val="es-ES"/>
        </w:rPr>
      </w:pPr>
    </w:p>
    <w:p w14:paraId="6E8B2204" w14:textId="4C57179F" w:rsidR="00B43C29" w:rsidRPr="00B43C29" w:rsidRDefault="00B43C29" w:rsidP="00B43C29">
      <w:pPr>
        <w:tabs>
          <w:tab w:val="left" w:pos="6810"/>
        </w:tabs>
        <w:jc w:val="both"/>
        <w:rPr>
          <w:rFonts w:ascii="Tahoma" w:hAnsi="Tahoma" w:cs="Tahoma"/>
          <w:sz w:val="20"/>
          <w:szCs w:val="20"/>
          <w:lang w:val="es-ES"/>
        </w:rPr>
      </w:pPr>
      <w:r w:rsidRPr="005C56BE">
        <w:rPr>
          <w:rFonts w:ascii="Tahoma" w:hAnsi="Tahoma" w:cs="Tahoma"/>
          <w:b/>
          <w:bCs/>
          <w:sz w:val="20"/>
          <w:szCs w:val="20"/>
          <w:lang w:val="es-ES"/>
        </w:rPr>
        <w:t>2.6.1</w:t>
      </w:r>
      <w:r w:rsidR="00AE6BF0">
        <w:rPr>
          <w:rFonts w:ascii="Tahoma" w:hAnsi="Tahoma" w:cs="Tahoma"/>
          <w:sz w:val="20"/>
          <w:szCs w:val="20"/>
          <w:lang w:val="es-ES"/>
        </w:rPr>
        <w:t>.</w:t>
      </w:r>
      <w:r w:rsidRPr="00B43C29">
        <w:rPr>
          <w:rFonts w:ascii="Tahoma" w:hAnsi="Tahoma" w:cs="Tahoma"/>
          <w:sz w:val="20"/>
          <w:szCs w:val="20"/>
          <w:lang w:val="es-ES"/>
        </w:rPr>
        <w:t xml:space="preserve"> Para las licencias de construcción expedidas antes del 18 de mayo de 2023, se verificarán los ambientes pedagógicos de la infraestructura física relacionados con el bienestar y seguridad sin que sea necesario que en dicha licencia se especifique el número de estudiantes.</w:t>
      </w:r>
    </w:p>
    <w:p w14:paraId="6AA4E917" w14:textId="77777777" w:rsidR="00B43C29" w:rsidRPr="00B43C29" w:rsidRDefault="00B43C29" w:rsidP="00B43C29">
      <w:pPr>
        <w:tabs>
          <w:tab w:val="left" w:pos="6810"/>
        </w:tabs>
        <w:jc w:val="both"/>
        <w:rPr>
          <w:rFonts w:ascii="Tahoma" w:hAnsi="Tahoma" w:cs="Tahoma"/>
          <w:sz w:val="20"/>
          <w:szCs w:val="20"/>
          <w:lang w:val="es-ES"/>
        </w:rPr>
      </w:pPr>
    </w:p>
    <w:p w14:paraId="538EF816" w14:textId="04B98BC2" w:rsidR="00B43C29" w:rsidRPr="00B43C29" w:rsidRDefault="00B43C29" w:rsidP="00B43C29">
      <w:pPr>
        <w:tabs>
          <w:tab w:val="left" w:pos="6810"/>
        </w:tabs>
        <w:jc w:val="both"/>
        <w:rPr>
          <w:rFonts w:ascii="Tahoma" w:hAnsi="Tahoma" w:cs="Tahoma"/>
          <w:sz w:val="20"/>
          <w:szCs w:val="20"/>
          <w:lang w:val="es-ES"/>
        </w:rPr>
      </w:pPr>
      <w:r w:rsidRPr="005C56BE">
        <w:rPr>
          <w:rFonts w:ascii="Tahoma" w:hAnsi="Tahoma" w:cs="Tahoma"/>
          <w:b/>
          <w:bCs/>
          <w:sz w:val="20"/>
          <w:szCs w:val="20"/>
          <w:lang w:val="es-ES"/>
        </w:rPr>
        <w:t>2.6.2</w:t>
      </w:r>
      <w:r w:rsidR="00AE6BF0">
        <w:rPr>
          <w:rFonts w:ascii="Tahoma" w:hAnsi="Tahoma" w:cs="Tahoma"/>
          <w:sz w:val="20"/>
          <w:szCs w:val="20"/>
          <w:lang w:val="es-ES"/>
        </w:rPr>
        <w:t>.</w:t>
      </w:r>
      <w:r w:rsidRPr="00B43C29">
        <w:rPr>
          <w:rFonts w:ascii="Tahoma" w:hAnsi="Tahoma" w:cs="Tahoma"/>
          <w:sz w:val="20"/>
          <w:szCs w:val="20"/>
          <w:lang w:val="es-ES"/>
        </w:rPr>
        <w:t xml:space="preserve"> Para las licencias de construcción expedidas en el marco del nuevo Plan de Ordenamiento Territorial – POT Bogotá (Decreto 555 de 2021) y en vigencia de la Resolución No. 1326 de 2023 emitida por la Secretaría de Educación del Distrito - SED, se tendrá en cuenta lo dispuesto en los estándares de calidad espacial, anexo: 1: “</w:t>
      </w:r>
      <w:r w:rsidRPr="00B43C29">
        <w:rPr>
          <w:rFonts w:ascii="Tahoma" w:hAnsi="Tahoma" w:cs="Tahoma"/>
          <w:i/>
          <w:iCs/>
          <w:sz w:val="20"/>
          <w:szCs w:val="20"/>
          <w:lang w:val="es-ES"/>
        </w:rPr>
        <w:t>Instrumento de verificación para edificaciones nuevas – ETDH”</w:t>
      </w:r>
      <w:r w:rsidRPr="00B43C29">
        <w:rPr>
          <w:rFonts w:ascii="Tahoma" w:hAnsi="Tahoma" w:cs="Tahoma"/>
          <w:sz w:val="20"/>
          <w:szCs w:val="20"/>
          <w:lang w:val="es-ES"/>
        </w:rPr>
        <w:t xml:space="preserve"> o el anexo 2 </w:t>
      </w:r>
      <w:r w:rsidRPr="00B43C29">
        <w:rPr>
          <w:rFonts w:ascii="Tahoma" w:hAnsi="Tahoma" w:cs="Tahoma"/>
          <w:i/>
          <w:iCs/>
          <w:sz w:val="20"/>
          <w:szCs w:val="20"/>
          <w:lang w:val="es-ES"/>
        </w:rPr>
        <w:t>“Instrumento de verificación para edificaciones existentes – ETDH</w:t>
      </w:r>
      <w:r w:rsidRPr="00B43C29">
        <w:rPr>
          <w:rFonts w:ascii="Tahoma" w:hAnsi="Tahoma" w:cs="Tahoma"/>
          <w:sz w:val="20"/>
          <w:szCs w:val="20"/>
          <w:lang w:val="es-ES"/>
        </w:rPr>
        <w:t xml:space="preserve"> (únicamente aplicable a Instituciones de Educación en Bienes de Interés Cultural).</w:t>
      </w:r>
    </w:p>
    <w:p w14:paraId="2ED050F0" w14:textId="77777777" w:rsidR="00B43C29" w:rsidRPr="00B43C29" w:rsidRDefault="00B43C29" w:rsidP="00B43C29">
      <w:pPr>
        <w:tabs>
          <w:tab w:val="left" w:pos="6810"/>
        </w:tabs>
        <w:jc w:val="both"/>
        <w:rPr>
          <w:rFonts w:ascii="Tahoma" w:hAnsi="Tahoma" w:cs="Tahoma"/>
          <w:sz w:val="20"/>
          <w:szCs w:val="20"/>
          <w:lang w:val="es-ES"/>
        </w:rPr>
      </w:pPr>
    </w:p>
    <w:p w14:paraId="08BDE514" w14:textId="22BF23F7" w:rsidR="00B43C29" w:rsidRPr="00B43C29" w:rsidRDefault="00B43C29" w:rsidP="00B43C29">
      <w:pPr>
        <w:tabs>
          <w:tab w:val="left" w:pos="6810"/>
        </w:tabs>
        <w:jc w:val="both"/>
        <w:rPr>
          <w:rFonts w:ascii="Tahoma" w:hAnsi="Tahoma" w:cs="Tahoma"/>
          <w:sz w:val="20"/>
          <w:szCs w:val="20"/>
          <w:lang w:val="es-ES"/>
        </w:rPr>
      </w:pPr>
      <w:r w:rsidRPr="005C56BE">
        <w:rPr>
          <w:rFonts w:ascii="Tahoma" w:hAnsi="Tahoma" w:cs="Tahoma"/>
          <w:b/>
          <w:bCs/>
          <w:sz w:val="20"/>
          <w:szCs w:val="20"/>
          <w:lang w:val="es-ES"/>
        </w:rPr>
        <w:t>2.7</w:t>
      </w:r>
      <w:r w:rsidR="00AE6BF0">
        <w:rPr>
          <w:rFonts w:ascii="Tahoma" w:hAnsi="Tahoma" w:cs="Tahoma"/>
          <w:sz w:val="20"/>
          <w:szCs w:val="20"/>
          <w:lang w:val="es-ES"/>
        </w:rPr>
        <w:t>.</w:t>
      </w:r>
      <w:r w:rsidRPr="00B43C29">
        <w:rPr>
          <w:rFonts w:ascii="Tahoma" w:hAnsi="Tahoma" w:cs="Tahoma"/>
          <w:sz w:val="20"/>
          <w:szCs w:val="20"/>
          <w:lang w:val="es-ES"/>
        </w:rPr>
        <w:t xml:space="preserve"> </w:t>
      </w:r>
      <w:r w:rsidRPr="004764C3">
        <w:rPr>
          <w:rFonts w:ascii="Tahoma" w:hAnsi="Tahoma" w:cs="Tahoma"/>
          <w:b/>
          <w:bCs/>
          <w:sz w:val="20"/>
          <w:szCs w:val="20"/>
          <w:lang w:val="es-ES"/>
        </w:rPr>
        <w:t>Identificación de la planta física</w:t>
      </w:r>
      <w:r w:rsidRPr="00B43C29">
        <w:rPr>
          <w:rFonts w:ascii="Tahoma" w:hAnsi="Tahoma" w:cs="Tahoma"/>
          <w:sz w:val="20"/>
          <w:szCs w:val="20"/>
          <w:lang w:val="es-ES"/>
        </w:rPr>
        <w:t>. El solicitante deberá presentar los siguientes documentos atendiendo las normas nacionales vigentes para la (s) sede (s) que proyecta crear: I) licencia de construcción o acto de reconocimiento de edificaciones existentes; II) certificado de permiso de ocupación, o autorización de ocupación de inmueble o certificado técnico de ocupación y (III) el proyecto del Plan Escolar de Gestión del Riesgo y Cambio Climático – PEGR-CC.</w:t>
      </w:r>
    </w:p>
    <w:p w14:paraId="7809D43A" w14:textId="77777777" w:rsidR="00B43C29" w:rsidRPr="00B43C29" w:rsidRDefault="00B43C29" w:rsidP="00B43C29">
      <w:pPr>
        <w:tabs>
          <w:tab w:val="left" w:pos="6810"/>
        </w:tabs>
        <w:jc w:val="both"/>
        <w:rPr>
          <w:rFonts w:ascii="Tahoma" w:hAnsi="Tahoma" w:cs="Tahoma"/>
          <w:sz w:val="20"/>
          <w:szCs w:val="20"/>
          <w:lang w:val="es-ES"/>
        </w:rPr>
      </w:pPr>
    </w:p>
    <w:p w14:paraId="2C1FBC78" w14:textId="5C0F5CC8"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2.7.1</w:t>
      </w:r>
      <w:r w:rsidR="00F3733E">
        <w:rPr>
          <w:rFonts w:ascii="Tahoma" w:hAnsi="Tahoma" w:cs="Tahoma"/>
          <w:sz w:val="20"/>
          <w:szCs w:val="20"/>
          <w:lang w:val="es-ES"/>
        </w:rPr>
        <w:t xml:space="preserve"> </w:t>
      </w:r>
      <w:r w:rsidRPr="004764C3">
        <w:rPr>
          <w:rFonts w:ascii="Tahoma" w:hAnsi="Tahoma" w:cs="Tahoma"/>
          <w:b/>
          <w:bCs/>
          <w:sz w:val="20"/>
          <w:szCs w:val="20"/>
          <w:lang w:val="es-ES"/>
        </w:rPr>
        <w:t>Licencia de construcción</w:t>
      </w:r>
      <w:r w:rsidRPr="00B43C29">
        <w:rPr>
          <w:rFonts w:ascii="Tahoma" w:hAnsi="Tahoma" w:cs="Tahoma"/>
          <w:sz w:val="20"/>
          <w:szCs w:val="20"/>
          <w:lang w:val="es-ES"/>
        </w:rPr>
        <w:t>. De conformidad con lo señalado en el Decreto 1077 de 2015 el solicitante presentará una licencia de construcción la cual deberá cumplir los aspectos técnicos aprobados para la respectiva edificación teniendo en cuenta la norma urbanística bajo la cual fue expedida, así:</w:t>
      </w:r>
    </w:p>
    <w:p w14:paraId="588E03C3" w14:textId="77777777" w:rsidR="00B43C29" w:rsidRPr="00B43C29" w:rsidRDefault="00B43C29" w:rsidP="00B43C29">
      <w:pPr>
        <w:tabs>
          <w:tab w:val="left" w:pos="6810"/>
        </w:tabs>
        <w:jc w:val="both"/>
        <w:rPr>
          <w:rFonts w:ascii="Tahoma" w:hAnsi="Tahoma" w:cs="Tahoma"/>
          <w:sz w:val="20"/>
          <w:szCs w:val="20"/>
          <w:lang w:val="es-ES"/>
        </w:rPr>
      </w:pPr>
    </w:p>
    <w:p w14:paraId="5B332435" w14:textId="77777777" w:rsidR="00B43C29" w:rsidRPr="00B43C29" w:rsidRDefault="00B43C29" w:rsidP="00B43C29">
      <w:pPr>
        <w:tabs>
          <w:tab w:val="left" w:pos="6810"/>
        </w:tabs>
        <w:jc w:val="both"/>
        <w:rPr>
          <w:rFonts w:ascii="Tahoma" w:hAnsi="Tahoma" w:cs="Tahoma"/>
          <w:sz w:val="20"/>
          <w:szCs w:val="20"/>
          <w:lang w:val="es-ES"/>
        </w:rPr>
      </w:pPr>
      <w:bookmarkStart w:id="0" w:name="_Hlk188374740"/>
      <w:r w:rsidRPr="00B43C29">
        <w:rPr>
          <w:rFonts w:ascii="Tahoma" w:hAnsi="Tahoma" w:cs="Tahoma"/>
          <w:sz w:val="20"/>
          <w:szCs w:val="20"/>
          <w:lang w:val="es-ES"/>
        </w:rPr>
        <w:lastRenderedPageBreak/>
        <w:t xml:space="preserve">2.7.1.1 </w:t>
      </w:r>
      <w:bookmarkEnd w:id="0"/>
      <w:r w:rsidRPr="00B43C29">
        <w:rPr>
          <w:rFonts w:ascii="Tahoma" w:hAnsi="Tahoma" w:cs="Tahoma"/>
          <w:sz w:val="20"/>
          <w:szCs w:val="20"/>
          <w:lang w:val="es-ES"/>
        </w:rPr>
        <w:t>Si la licencia de construcción fue expedida antes el 7 de mayo de 1990, se aplica el Acuerdo 7 de 1979 y deberá tener autorizado el uso Institucional.</w:t>
      </w:r>
    </w:p>
    <w:p w14:paraId="5400F353" w14:textId="77777777" w:rsidR="00B43C29" w:rsidRPr="00B43C29" w:rsidRDefault="00B43C29" w:rsidP="00B43C29">
      <w:pPr>
        <w:tabs>
          <w:tab w:val="left" w:pos="6810"/>
        </w:tabs>
        <w:jc w:val="both"/>
        <w:rPr>
          <w:rFonts w:ascii="Tahoma" w:hAnsi="Tahoma" w:cs="Tahoma"/>
          <w:sz w:val="20"/>
          <w:szCs w:val="20"/>
          <w:lang w:val="es-ES"/>
        </w:rPr>
      </w:pPr>
    </w:p>
    <w:p w14:paraId="43838A79"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2.7.1.2 Si la licencia de construcción fue expedida entre el 8 de mayo de 1990 y 6 de julio de 1992 en vigencia de los artículos 311 y 312 del Acuerdo 6 de 1990 deberá tener autorizado alguno de los siguientes usos institucionales:</w:t>
      </w:r>
    </w:p>
    <w:p w14:paraId="28641D33" w14:textId="77777777" w:rsidR="00B43C29" w:rsidRPr="00B43C29" w:rsidRDefault="00B43C29" w:rsidP="00B43C29">
      <w:pPr>
        <w:tabs>
          <w:tab w:val="left" w:pos="6810"/>
        </w:tabs>
        <w:jc w:val="both"/>
        <w:rPr>
          <w:rFonts w:ascii="Tahoma" w:hAnsi="Tahoma" w:cs="Tahoma"/>
          <w:sz w:val="20"/>
          <w:szCs w:val="20"/>
          <w:lang w:val="es-ES"/>
        </w:rPr>
      </w:pPr>
    </w:p>
    <w:p w14:paraId="23C0EDD1" w14:textId="77777777" w:rsidR="00B43C29" w:rsidRPr="00B43C29" w:rsidRDefault="00B43C29" w:rsidP="00B43C29">
      <w:pPr>
        <w:numPr>
          <w:ilvl w:val="0"/>
          <w:numId w:val="3"/>
        </w:numPr>
        <w:tabs>
          <w:tab w:val="left" w:pos="6810"/>
        </w:tabs>
        <w:jc w:val="both"/>
        <w:rPr>
          <w:rFonts w:ascii="Tahoma" w:hAnsi="Tahoma" w:cs="Tahoma"/>
          <w:sz w:val="20"/>
          <w:szCs w:val="20"/>
          <w:lang w:val="es-ES"/>
        </w:rPr>
      </w:pPr>
      <w:r w:rsidRPr="00B43C29">
        <w:rPr>
          <w:rFonts w:ascii="Tahoma" w:hAnsi="Tahoma" w:cs="Tahoma"/>
          <w:sz w:val="20"/>
          <w:szCs w:val="20"/>
          <w:lang w:val="es-ES"/>
        </w:rPr>
        <w:t>Institucional clase II - influencia zonal. Educativos (colegios de primaria y bachillerato, centros de educación superior, institutos de capacitación técnica, seminarios y conventos).</w:t>
      </w:r>
    </w:p>
    <w:p w14:paraId="3B703EEC" w14:textId="77777777" w:rsidR="00B43C29" w:rsidRPr="00B43C29" w:rsidRDefault="00B43C29" w:rsidP="00B43C29">
      <w:pPr>
        <w:tabs>
          <w:tab w:val="left" w:pos="6810"/>
        </w:tabs>
        <w:jc w:val="both"/>
        <w:rPr>
          <w:rFonts w:ascii="Tahoma" w:hAnsi="Tahoma" w:cs="Tahoma"/>
          <w:sz w:val="20"/>
          <w:szCs w:val="20"/>
          <w:lang w:val="es-ES"/>
        </w:rPr>
      </w:pPr>
    </w:p>
    <w:p w14:paraId="5C2AAEF6" w14:textId="77777777" w:rsidR="00B43C29" w:rsidRPr="00B43C29" w:rsidRDefault="00B43C29" w:rsidP="00B43C29">
      <w:pPr>
        <w:numPr>
          <w:ilvl w:val="0"/>
          <w:numId w:val="3"/>
        </w:numPr>
        <w:tabs>
          <w:tab w:val="left" w:pos="6810"/>
        </w:tabs>
        <w:jc w:val="both"/>
        <w:rPr>
          <w:rFonts w:ascii="Tahoma" w:hAnsi="Tahoma" w:cs="Tahoma"/>
          <w:sz w:val="20"/>
          <w:szCs w:val="20"/>
          <w:lang w:val="es-ES"/>
        </w:rPr>
      </w:pPr>
      <w:r w:rsidRPr="00B43C29">
        <w:rPr>
          <w:rFonts w:ascii="Tahoma" w:hAnsi="Tahoma" w:cs="Tahoma"/>
          <w:sz w:val="20"/>
          <w:szCs w:val="20"/>
          <w:lang w:val="es-ES"/>
        </w:rPr>
        <w:t>Institucional clase III - influencia metropolitana. Educativos (ciudades universitarias, universidades, institutos tecnológicos, escuelas de administración pública, escuelas de formación militar, conventos y seminarios, escuela de aviación de Guaymaral y en general los usos educativos en establecimientos educativos de cobertura nacional con sede en Bogotá).</w:t>
      </w:r>
    </w:p>
    <w:p w14:paraId="6C86FB4A" w14:textId="77777777" w:rsidR="00B43C29" w:rsidRPr="00B43C29" w:rsidRDefault="00B43C29" w:rsidP="00B43C29">
      <w:pPr>
        <w:tabs>
          <w:tab w:val="left" w:pos="6810"/>
        </w:tabs>
        <w:jc w:val="both"/>
        <w:rPr>
          <w:rFonts w:ascii="Tahoma" w:hAnsi="Tahoma" w:cs="Tahoma"/>
          <w:sz w:val="20"/>
          <w:szCs w:val="20"/>
          <w:lang w:val="es-ES"/>
        </w:rPr>
      </w:pPr>
    </w:p>
    <w:p w14:paraId="1163439E"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2.7.1.3 Si la licencia de construcción fue expedida entre el 7 de julio de 1992 y el 27 de julio de 2000 en vigencia de los artículos 16 y 20 del Decreto 325 de 1992 deberá tener autorizado alguno de los siguientes usos:</w:t>
      </w:r>
    </w:p>
    <w:p w14:paraId="2825B015" w14:textId="77777777" w:rsidR="00B43C29" w:rsidRPr="00B43C29" w:rsidRDefault="00B43C29" w:rsidP="00B43C29">
      <w:pPr>
        <w:tabs>
          <w:tab w:val="left" w:pos="6810"/>
        </w:tabs>
        <w:jc w:val="both"/>
        <w:rPr>
          <w:rFonts w:ascii="Tahoma" w:hAnsi="Tahoma" w:cs="Tahoma"/>
          <w:sz w:val="20"/>
          <w:szCs w:val="20"/>
          <w:lang w:val="es-ES"/>
        </w:rPr>
      </w:pPr>
    </w:p>
    <w:p w14:paraId="48E0EB7F" w14:textId="77777777" w:rsidR="00B43C29" w:rsidRPr="00B43C29" w:rsidRDefault="00B43C29" w:rsidP="00B43C29">
      <w:pPr>
        <w:numPr>
          <w:ilvl w:val="0"/>
          <w:numId w:val="4"/>
        </w:numPr>
        <w:tabs>
          <w:tab w:val="left" w:pos="6810"/>
        </w:tabs>
        <w:jc w:val="both"/>
        <w:rPr>
          <w:rFonts w:ascii="Tahoma" w:hAnsi="Tahoma" w:cs="Tahoma"/>
          <w:sz w:val="20"/>
          <w:szCs w:val="20"/>
          <w:lang w:val="es-ES"/>
        </w:rPr>
      </w:pPr>
      <w:r w:rsidRPr="00B43C29">
        <w:rPr>
          <w:rFonts w:ascii="Tahoma" w:hAnsi="Tahoma" w:cs="Tahoma"/>
          <w:sz w:val="20"/>
          <w:szCs w:val="20"/>
          <w:lang w:val="es-ES"/>
        </w:rPr>
        <w:t>Comercio zonal clase IIA. Comercio zonal menor impacto, tales como: servicios educativos: centros de enseñanza y capacitación complementaria (distintos a los establecimientos de educación escolarizada o formal).</w:t>
      </w:r>
    </w:p>
    <w:p w14:paraId="77B7471E" w14:textId="77777777" w:rsidR="00B43C29" w:rsidRPr="00B43C29" w:rsidRDefault="00B43C29" w:rsidP="00B43C29">
      <w:pPr>
        <w:tabs>
          <w:tab w:val="left" w:pos="6810"/>
        </w:tabs>
        <w:jc w:val="both"/>
        <w:rPr>
          <w:rFonts w:ascii="Tahoma" w:hAnsi="Tahoma" w:cs="Tahoma"/>
          <w:sz w:val="20"/>
          <w:szCs w:val="20"/>
          <w:lang w:val="es-ES"/>
        </w:rPr>
      </w:pPr>
    </w:p>
    <w:p w14:paraId="4D303DE3" w14:textId="77777777" w:rsidR="00B43C29" w:rsidRPr="00B43C29" w:rsidRDefault="00B43C29" w:rsidP="00B43C29">
      <w:pPr>
        <w:numPr>
          <w:ilvl w:val="0"/>
          <w:numId w:val="4"/>
        </w:numPr>
        <w:tabs>
          <w:tab w:val="left" w:pos="6810"/>
        </w:tabs>
        <w:jc w:val="both"/>
        <w:rPr>
          <w:rFonts w:ascii="Tahoma" w:hAnsi="Tahoma" w:cs="Tahoma"/>
          <w:sz w:val="20"/>
          <w:szCs w:val="20"/>
          <w:lang w:val="es-ES"/>
        </w:rPr>
      </w:pPr>
      <w:r w:rsidRPr="00B43C29">
        <w:rPr>
          <w:rFonts w:ascii="Tahoma" w:hAnsi="Tahoma" w:cs="Tahoma"/>
          <w:sz w:val="20"/>
          <w:szCs w:val="20"/>
          <w:lang w:val="es-ES"/>
        </w:rPr>
        <w:t>Comercio de cobertura metropolitana - Grupo IIIA.  Oferta concentrada de gran variedad de bienes y servicios en edificaciones especializadas o complejos, tales como los centros comerciales, hacen parte de ello los usos complementarios de comercio zonal de menor impacto correspondiente a servicios educativos.  Pertenecen a este grupo cuando se desarrollen en superficies mayores a 20.000 M2 de área construida y en las áreas sin urbanizar que cumplan proceso de desarrollo, en lotes mayores a 20.000 M2 de área útil.</w:t>
      </w:r>
    </w:p>
    <w:p w14:paraId="4EC30E32" w14:textId="77777777" w:rsidR="00B43C29" w:rsidRPr="00B43C29" w:rsidRDefault="00B43C29" w:rsidP="00B43C29">
      <w:pPr>
        <w:tabs>
          <w:tab w:val="left" w:pos="6810"/>
        </w:tabs>
        <w:jc w:val="both"/>
        <w:rPr>
          <w:rFonts w:ascii="Tahoma" w:hAnsi="Tahoma" w:cs="Tahoma"/>
          <w:sz w:val="20"/>
          <w:szCs w:val="20"/>
          <w:lang w:val="es-ES"/>
        </w:rPr>
      </w:pPr>
    </w:p>
    <w:p w14:paraId="2C04811D"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2.7.1.4 Si la licencia de construcción fue expedida entre el 28 de julio de 2000 y el 22 de diciembre de 2003 en vigencia del Decreto 619 de 2000 deberá tener autorizado alguno de los siguientes usos, de conformidad con lo señalado en el cuadro anexo No. 2 “Clasificación de usos del suelo, numeral 1 Equipamientos Colectivos (educativo)”, así:</w:t>
      </w:r>
    </w:p>
    <w:p w14:paraId="43D9ED0F" w14:textId="77777777" w:rsidR="00B43C29" w:rsidRPr="00B43C29" w:rsidRDefault="00B43C29" w:rsidP="00B43C29">
      <w:pPr>
        <w:tabs>
          <w:tab w:val="left" w:pos="6810"/>
        </w:tabs>
        <w:jc w:val="both"/>
        <w:rPr>
          <w:rFonts w:ascii="Tahoma" w:hAnsi="Tahoma" w:cs="Tahoma"/>
          <w:sz w:val="20"/>
          <w:szCs w:val="20"/>
          <w:lang w:val="es-ES"/>
        </w:rPr>
      </w:pPr>
    </w:p>
    <w:p w14:paraId="1A6822C8" w14:textId="77777777" w:rsidR="00B43C29" w:rsidRPr="00B43C29" w:rsidRDefault="00B43C29" w:rsidP="00B43C29">
      <w:pPr>
        <w:numPr>
          <w:ilvl w:val="0"/>
          <w:numId w:val="5"/>
        </w:numPr>
        <w:tabs>
          <w:tab w:val="left" w:pos="6810"/>
        </w:tabs>
        <w:jc w:val="both"/>
        <w:rPr>
          <w:rFonts w:ascii="Tahoma" w:hAnsi="Tahoma" w:cs="Tahoma"/>
          <w:sz w:val="20"/>
          <w:szCs w:val="20"/>
          <w:lang w:val="es-ES"/>
        </w:rPr>
      </w:pPr>
      <w:r w:rsidRPr="00B43C29">
        <w:rPr>
          <w:rFonts w:ascii="Tahoma" w:hAnsi="Tahoma" w:cs="Tahoma"/>
          <w:sz w:val="20"/>
          <w:szCs w:val="20"/>
          <w:lang w:val="es-ES"/>
        </w:rPr>
        <w:t>Equipamiento colectivo educativo - escala metropolitana. Instituciones de educación superior, Centros de investigación. Educación no formal. Condiciones: mediante aprobación de Plan de Implantación.</w:t>
      </w:r>
    </w:p>
    <w:p w14:paraId="280B0D54" w14:textId="77777777" w:rsidR="00B43C29" w:rsidRPr="00B43C29" w:rsidRDefault="00B43C29" w:rsidP="00B43C29">
      <w:pPr>
        <w:tabs>
          <w:tab w:val="left" w:pos="6810"/>
        </w:tabs>
        <w:jc w:val="both"/>
        <w:rPr>
          <w:rFonts w:ascii="Tahoma" w:hAnsi="Tahoma" w:cs="Tahoma"/>
          <w:sz w:val="20"/>
          <w:szCs w:val="20"/>
          <w:lang w:val="es-ES"/>
        </w:rPr>
      </w:pPr>
    </w:p>
    <w:p w14:paraId="4B0B0B9C" w14:textId="77777777" w:rsidR="00B43C29" w:rsidRPr="00B43C29" w:rsidRDefault="00B43C29" w:rsidP="00B43C29">
      <w:pPr>
        <w:numPr>
          <w:ilvl w:val="0"/>
          <w:numId w:val="5"/>
        </w:numPr>
        <w:tabs>
          <w:tab w:val="left" w:pos="6810"/>
        </w:tabs>
        <w:jc w:val="both"/>
        <w:rPr>
          <w:rFonts w:ascii="Tahoma" w:hAnsi="Tahoma" w:cs="Tahoma"/>
          <w:sz w:val="20"/>
          <w:szCs w:val="20"/>
          <w:lang w:val="es-ES"/>
        </w:rPr>
      </w:pPr>
      <w:r w:rsidRPr="00B43C29">
        <w:rPr>
          <w:rFonts w:ascii="Tahoma" w:hAnsi="Tahoma" w:cs="Tahoma"/>
          <w:sz w:val="20"/>
          <w:szCs w:val="20"/>
          <w:lang w:val="es-ES"/>
        </w:rPr>
        <w:t>Equipamiento colectivo educativo - escala urbana. Centros tecnológicos y técnicos y educación no formal hasta 1500 alumnos. Condiciones: mediante aprobación de Plan de Implantación.</w:t>
      </w:r>
    </w:p>
    <w:p w14:paraId="01C92D14" w14:textId="77777777" w:rsidR="00B43C29" w:rsidRPr="00B43C29" w:rsidRDefault="00B43C29" w:rsidP="00B43C29">
      <w:pPr>
        <w:tabs>
          <w:tab w:val="left" w:pos="6810"/>
        </w:tabs>
        <w:jc w:val="both"/>
        <w:rPr>
          <w:rFonts w:ascii="Tahoma" w:hAnsi="Tahoma" w:cs="Tahoma"/>
          <w:sz w:val="20"/>
          <w:szCs w:val="20"/>
          <w:lang w:val="es-ES"/>
        </w:rPr>
      </w:pPr>
    </w:p>
    <w:p w14:paraId="1DD2FDBB" w14:textId="77777777" w:rsidR="00B43C29" w:rsidRPr="00B43C29" w:rsidRDefault="00B43C29" w:rsidP="00B43C29">
      <w:pPr>
        <w:numPr>
          <w:ilvl w:val="0"/>
          <w:numId w:val="5"/>
        </w:numPr>
        <w:tabs>
          <w:tab w:val="left" w:pos="6810"/>
        </w:tabs>
        <w:jc w:val="both"/>
        <w:rPr>
          <w:rFonts w:ascii="Tahoma" w:hAnsi="Tahoma" w:cs="Tahoma"/>
          <w:sz w:val="20"/>
          <w:szCs w:val="20"/>
          <w:lang w:val="es-ES"/>
        </w:rPr>
      </w:pPr>
      <w:r w:rsidRPr="00B43C29">
        <w:rPr>
          <w:rFonts w:ascii="Tahoma" w:hAnsi="Tahoma" w:cs="Tahoma"/>
          <w:sz w:val="20"/>
          <w:szCs w:val="20"/>
          <w:lang w:val="es-ES"/>
        </w:rPr>
        <w:t>Equipamiento colectivo educativo - escala zonal. Centros tecnológicos y educación no formal hasta 1000 alumnos.</w:t>
      </w:r>
    </w:p>
    <w:p w14:paraId="425CC1E2" w14:textId="77777777" w:rsidR="00B43C29" w:rsidRPr="00B43C29" w:rsidRDefault="00B43C29" w:rsidP="00B43C29">
      <w:pPr>
        <w:tabs>
          <w:tab w:val="left" w:pos="6810"/>
        </w:tabs>
        <w:jc w:val="both"/>
        <w:rPr>
          <w:rFonts w:ascii="Tahoma" w:hAnsi="Tahoma" w:cs="Tahoma"/>
          <w:sz w:val="20"/>
          <w:szCs w:val="20"/>
          <w:lang w:val="es-ES"/>
        </w:rPr>
      </w:pPr>
    </w:p>
    <w:p w14:paraId="7B86C880"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lastRenderedPageBreak/>
        <w:t xml:space="preserve">2.7.1.5 Si la licencia de construcción fue expedida entre el 23 de diciembre de 2003 y el 21 de junio de 2004 en vigencia del Decreto 469 de 2003 deberá tener autorizado alguno de los siguientes usos, de conformidad con lo señalado en el artículo 255, cuadro Anexo </w:t>
      </w:r>
      <w:proofErr w:type="spellStart"/>
      <w:r w:rsidRPr="00B43C29">
        <w:rPr>
          <w:rFonts w:ascii="Tahoma" w:hAnsi="Tahoma" w:cs="Tahoma"/>
          <w:sz w:val="20"/>
          <w:szCs w:val="20"/>
          <w:lang w:val="es-ES"/>
        </w:rPr>
        <w:t>N°</w:t>
      </w:r>
      <w:proofErr w:type="spellEnd"/>
      <w:r w:rsidRPr="00B43C29">
        <w:rPr>
          <w:rFonts w:ascii="Tahoma" w:hAnsi="Tahoma" w:cs="Tahoma"/>
          <w:sz w:val="20"/>
          <w:szCs w:val="20"/>
          <w:lang w:val="es-ES"/>
        </w:rPr>
        <w:t>. 2 “cuadro indicativo de clasificación de usos del suelo”, numeral 1 Equipamiento Colectivo (educativo), así:</w:t>
      </w:r>
    </w:p>
    <w:p w14:paraId="7CC6C8B0" w14:textId="77777777" w:rsidR="00B43C29" w:rsidRPr="00B43C29" w:rsidRDefault="00B43C29" w:rsidP="00B43C29">
      <w:pPr>
        <w:tabs>
          <w:tab w:val="left" w:pos="6810"/>
        </w:tabs>
        <w:jc w:val="both"/>
        <w:rPr>
          <w:rFonts w:ascii="Tahoma" w:hAnsi="Tahoma" w:cs="Tahoma"/>
          <w:sz w:val="20"/>
          <w:szCs w:val="20"/>
          <w:lang w:val="es-ES"/>
        </w:rPr>
      </w:pPr>
    </w:p>
    <w:p w14:paraId="710E013E" w14:textId="77777777" w:rsidR="00B43C29" w:rsidRPr="00B43C29" w:rsidRDefault="00B43C29" w:rsidP="00B43C29">
      <w:pPr>
        <w:numPr>
          <w:ilvl w:val="0"/>
          <w:numId w:val="7"/>
        </w:numPr>
        <w:tabs>
          <w:tab w:val="left" w:pos="6810"/>
        </w:tabs>
        <w:jc w:val="both"/>
        <w:rPr>
          <w:rFonts w:ascii="Tahoma" w:hAnsi="Tahoma" w:cs="Tahoma"/>
          <w:sz w:val="20"/>
          <w:szCs w:val="20"/>
          <w:lang w:val="es-ES"/>
        </w:rPr>
      </w:pPr>
      <w:r w:rsidRPr="00B43C29">
        <w:rPr>
          <w:rFonts w:ascii="Tahoma" w:hAnsi="Tahoma" w:cs="Tahoma"/>
          <w:sz w:val="20"/>
          <w:szCs w:val="20"/>
          <w:lang w:val="es-ES"/>
        </w:rPr>
        <w:t xml:space="preserve">Equipamiento colectivo educativo - escala metropolitana. Instituciones de educación superior, Centros de investigación. Educación no formal. </w:t>
      </w:r>
    </w:p>
    <w:p w14:paraId="4152AAB9"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 xml:space="preserve">Condiciones: mediante plan parcial, mediante aprobación de Plan de Implantación o plan de regularización y manejo. </w:t>
      </w:r>
    </w:p>
    <w:p w14:paraId="1B6C5726" w14:textId="77777777" w:rsidR="00B43C29" w:rsidRPr="00B43C29" w:rsidRDefault="00B43C29" w:rsidP="00B43C29">
      <w:pPr>
        <w:tabs>
          <w:tab w:val="left" w:pos="6810"/>
        </w:tabs>
        <w:jc w:val="both"/>
        <w:rPr>
          <w:rFonts w:ascii="Tahoma" w:hAnsi="Tahoma" w:cs="Tahoma"/>
          <w:sz w:val="20"/>
          <w:szCs w:val="20"/>
          <w:lang w:val="es-ES"/>
        </w:rPr>
      </w:pPr>
    </w:p>
    <w:p w14:paraId="2657FB69" w14:textId="77777777" w:rsidR="00B43C29" w:rsidRPr="00B43C29" w:rsidRDefault="00B43C29" w:rsidP="00B43C29">
      <w:pPr>
        <w:numPr>
          <w:ilvl w:val="0"/>
          <w:numId w:val="7"/>
        </w:numPr>
        <w:tabs>
          <w:tab w:val="left" w:pos="6810"/>
        </w:tabs>
        <w:jc w:val="both"/>
        <w:rPr>
          <w:rFonts w:ascii="Tahoma" w:hAnsi="Tahoma" w:cs="Tahoma"/>
          <w:sz w:val="20"/>
          <w:szCs w:val="20"/>
          <w:lang w:val="es-ES"/>
        </w:rPr>
      </w:pPr>
      <w:r w:rsidRPr="00B43C29">
        <w:rPr>
          <w:rFonts w:ascii="Tahoma" w:hAnsi="Tahoma" w:cs="Tahoma"/>
          <w:sz w:val="20"/>
          <w:szCs w:val="20"/>
          <w:lang w:val="es-ES"/>
        </w:rPr>
        <w:t>Equipamiento colectivo educativo - escala urbana. Centros tecnológicos y técnicos y educación no formal hasta 1500 alumnos. Condiciones: mediante plan /parcial, Mediante aprobación de Plan de Implantación o plan de regularización y manejo.</w:t>
      </w:r>
    </w:p>
    <w:p w14:paraId="1854C43D" w14:textId="77777777" w:rsidR="00B43C29" w:rsidRPr="00B43C29" w:rsidRDefault="00B43C29" w:rsidP="00B43C29">
      <w:pPr>
        <w:tabs>
          <w:tab w:val="left" w:pos="6810"/>
        </w:tabs>
        <w:jc w:val="both"/>
        <w:rPr>
          <w:rFonts w:ascii="Tahoma" w:hAnsi="Tahoma" w:cs="Tahoma"/>
          <w:sz w:val="20"/>
          <w:szCs w:val="20"/>
          <w:lang w:val="es-ES"/>
        </w:rPr>
      </w:pPr>
    </w:p>
    <w:p w14:paraId="06F90A84" w14:textId="77777777" w:rsidR="00B43C29" w:rsidRPr="00B43C29" w:rsidRDefault="00B43C29" w:rsidP="00B43C29">
      <w:pPr>
        <w:numPr>
          <w:ilvl w:val="0"/>
          <w:numId w:val="7"/>
        </w:numPr>
        <w:tabs>
          <w:tab w:val="left" w:pos="6810"/>
        </w:tabs>
        <w:jc w:val="both"/>
        <w:rPr>
          <w:rFonts w:ascii="Tahoma" w:hAnsi="Tahoma" w:cs="Tahoma"/>
          <w:sz w:val="20"/>
          <w:szCs w:val="20"/>
          <w:lang w:val="es-ES"/>
        </w:rPr>
      </w:pPr>
      <w:r w:rsidRPr="00B43C29">
        <w:rPr>
          <w:rFonts w:ascii="Tahoma" w:hAnsi="Tahoma" w:cs="Tahoma"/>
          <w:sz w:val="20"/>
          <w:szCs w:val="20"/>
          <w:lang w:val="es-ES"/>
        </w:rPr>
        <w:t>Equipamiento colectivo educativo - escala zonal. Centros tecnológicos y educación no formal hasta 1000 alumnos.</w:t>
      </w:r>
    </w:p>
    <w:p w14:paraId="1B151FD4" w14:textId="77777777" w:rsidR="00B43C29" w:rsidRPr="00B43C29" w:rsidRDefault="00B43C29" w:rsidP="00B43C29">
      <w:pPr>
        <w:tabs>
          <w:tab w:val="left" w:pos="6810"/>
        </w:tabs>
        <w:jc w:val="both"/>
        <w:rPr>
          <w:rFonts w:ascii="Tahoma" w:hAnsi="Tahoma" w:cs="Tahoma"/>
          <w:sz w:val="20"/>
          <w:szCs w:val="20"/>
          <w:lang w:val="es-ES"/>
        </w:rPr>
      </w:pPr>
    </w:p>
    <w:p w14:paraId="1472D27F" w14:textId="77777777" w:rsidR="00B43C29" w:rsidRPr="00B43C29" w:rsidRDefault="00B43C29" w:rsidP="00B43C29">
      <w:pPr>
        <w:numPr>
          <w:ilvl w:val="0"/>
          <w:numId w:val="7"/>
        </w:numPr>
        <w:tabs>
          <w:tab w:val="left" w:pos="6810"/>
        </w:tabs>
        <w:jc w:val="both"/>
        <w:rPr>
          <w:rFonts w:ascii="Tahoma" w:hAnsi="Tahoma" w:cs="Tahoma"/>
          <w:sz w:val="20"/>
          <w:szCs w:val="20"/>
          <w:lang w:val="es-ES"/>
        </w:rPr>
      </w:pPr>
      <w:r w:rsidRPr="00B43C29">
        <w:rPr>
          <w:rFonts w:ascii="Tahoma" w:hAnsi="Tahoma" w:cs="Tahoma"/>
          <w:sz w:val="20"/>
          <w:szCs w:val="20"/>
          <w:lang w:val="es-ES"/>
        </w:rPr>
        <w:t>Equipamiento colectivo educativo – escala vecinal.  Escuelas de formación artística hasta 50 alumnos.</w:t>
      </w:r>
    </w:p>
    <w:p w14:paraId="14021ABF" w14:textId="77777777" w:rsidR="00B43C29" w:rsidRPr="00B43C29" w:rsidRDefault="00B43C29" w:rsidP="00B43C29">
      <w:pPr>
        <w:tabs>
          <w:tab w:val="left" w:pos="6810"/>
        </w:tabs>
        <w:jc w:val="both"/>
        <w:rPr>
          <w:rFonts w:ascii="Tahoma" w:hAnsi="Tahoma" w:cs="Tahoma"/>
          <w:sz w:val="20"/>
          <w:szCs w:val="20"/>
          <w:lang w:val="es-ES"/>
        </w:rPr>
      </w:pPr>
    </w:p>
    <w:p w14:paraId="2FC8C53D"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 xml:space="preserve">2.7.1.6 Si la licencia de construcción fue expedida entre el 22 de junio de 2004 y 25 de agosto de 2013 en vigencia del Decreto 190 de 2004 deberá tener autorizado alguno de los siguientes usos, de conformidad con lo señalado en el artículo 358, cuadro Anexo </w:t>
      </w:r>
      <w:proofErr w:type="spellStart"/>
      <w:r w:rsidRPr="00B43C29">
        <w:rPr>
          <w:rFonts w:ascii="Tahoma" w:hAnsi="Tahoma" w:cs="Tahoma"/>
          <w:sz w:val="20"/>
          <w:szCs w:val="20"/>
          <w:lang w:val="es-ES"/>
        </w:rPr>
        <w:t>N°</w:t>
      </w:r>
      <w:proofErr w:type="spellEnd"/>
      <w:r w:rsidRPr="00B43C29">
        <w:rPr>
          <w:rFonts w:ascii="Tahoma" w:hAnsi="Tahoma" w:cs="Tahoma"/>
          <w:sz w:val="20"/>
          <w:szCs w:val="20"/>
          <w:lang w:val="es-ES"/>
        </w:rPr>
        <w:t xml:space="preserve"> 2: “cuadro indicativo de clasificación de usos del suelo - Dotacionales”, numeral 1.1 Equipamiento Colectivo (educativo), así:</w:t>
      </w:r>
    </w:p>
    <w:p w14:paraId="4443834F" w14:textId="77777777" w:rsidR="00B43C29" w:rsidRPr="00B43C29" w:rsidRDefault="00B43C29" w:rsidP="00B43C29">
      <w:pPr>
        <w:tabs>
          <w:tab w:val="left" w:pos="6810"/>
        </w:tabs>
        <w:jc w:val="both"/>
        <w:rPr>
          <w:rFonts w:ascii="Tahoma" w:hAnsi="Tahoma" w:cs="Tahoma"/>
          <w:sz w:val="20"/>
          <w:szCs w:val="20"/>
          <w:lang w:val="es-ES"/>
        </w:rPr>
      </w:pPr>
    </w:p>
    <w:p w14:paraId="6D1158D8" w14:textId="77777777" w:rsidR="00B43C29" w:rsidRPr="00B43C29" w:rsidRDefault="00B43C29" w:rsidP="00B43C29">
      <w:pPr>
        <w:numPr>
          <w:ilvl w:val="0"/>
          <w:numId w:val="8"/>
        </w:numPr>
        <w:tabs>
          <w:tab w:val="left" w:pos="6810"/>
        </w:tabs>
        <w:jc w:val="both"/>
        <w:rPr>
          <w:rFonts w:ascii="Tahoma" w:hAnsi="Tahoma" w:cs="Tahoma"/>
          <w:sz w:val="20"/>
          <w:szCs w:val="20"/>
          <w:lang w:val="es-ES"/>
        </w:rPr>
      </w:pPr>
      <w:r w:rsidRPr="00B43C29">
        <w:rPr>
          <w:rFonts w:ascii="Tahoma" w:hAnsi="Tahoma" w:cs="Tahoma"/>
          <w:sz w:val="20"/>
          <w:szCs w:val="20"/>
          <w:lang w:val="es-ES"/>
        </w:rPr>
        <w:t>Equipamiento colectivo educativo - escala metropolitana. Instituciones de educación superior, Centros de investigación. Educación no formal. Condiciones: mediante plan parcial, mediante aprobación de Plan de Implantación o plan de regularización y manejo.</w:t>
      </w:r>
    </w:p>
    <w:p w14:paraId="4D8A4CEE" w14:textId="77777777" w:rsidR="00B43C29" w:rsidRPr="00B43C29" w:rsidRDefault="00B43C29" w:rsidP="00B43C29">
      <w:pPr>
        <w:tabs>
          <w:tab w:val="left" w:pos="6810"/>
        </w:tabs>
        <w:jc w:val="both"/>
        <w:rPr>
          <w:rFonts w:ascii="Tahoma" w:hAnsi="Tahoma" w:cs="Tahoma"/>
          <w:sz w:val="20"/>
          <w:szCs w:val="20"/>
          <w:lang w:val="es-ES"/>
        </w:rPr>
      </w:pPr>
    </w:p>
    <w:p w14:paraId="4DB6270B" w14:textId="77777777" w:rsidR="00B43C29" w:rsidRPr="00B43C29" w:rsidRDefault="00B43C29" w:rsidP="00B43C29">
      <w:pPr>
        <w:numPr>
          <w:ilvl w:val="0"/>
          <w:numId w:val="8"/>
        </w:numPr>
        <w:tabs>
          <w:tab w:val="left" w:pos="6810"/>
        </w:tabs>
        <w:jc w:val="both"/>
        <w:rPr>
          <w:rFonts w:ascii="Tahoma" w:hAnsi="Tahoma" w:cs="Tahoma"/>
          <w:sz w:val="20"/>
          <w:szCs w:val="20"/>
          <w:lang w:val="es-ES"/>
        </w:rPr>
      </w:pPr>
      <w:r w:rsidRPr="00B43C29">
        <w:rPr>
          <w:rFonts w:ascii="Tahoma" w:hAnsi="Tahoma" w:cs="Tahoma"/>
          <w:sz w:val="20"/>
          <w:szCs w:val="20"/>
          <w:lang w:val="es-ES"/>
        </w:rPr>
        <w:t>Equipamiento colectivo educativo - escala urbana. Centros tecnológicos y técnicos y educación no formal hasta 1500 alumnos. Condiciones: mediante plan parcial, mediante aprobación de Plan de Implantación o plan de regularización y manejo.</w:t>
      </w:r>
    </w:p>
    <w:p w14:paraId="6004B001" w14:textId="77777777" w:rsidR="00B43C29" w:rsidRPr="00B43C29" w:rsidRDefault="00B43C29" w:rsidP="00B43C29">
      <w:pPr>
        <w:tabs>
          <w:tab w:val="left" w:pos="6810"/>
        </w:tabs>
        <w:jc w:val="both"/>
        <w:rPr>
          <w:rFonts w:ascii="Tahoma" w:hAnsi="Tahoma" w:cs="Tahoma"/>
          <w:sz w:val="20"/>
          <w:szCs w:val="20"/>
          <w:lang w:val="es-ES"/>
        </w:rPr>
      </w:pPr>
    </w:p>
    <w:p w14:paraId="2EE0FC7E" w14:textId="77777777" w:rsidR="00B43C29" w:rsidRPr="00B43C29" w:rsidRDefault="00B43C29" w:rsidP="00B43C29">
      <w:pPr>
        <w:numPr>
          <w:ilvl w:val="0"/>
          <w:numId w:val="8"/>
        </w:numPr>
        <w:tabs>
          <w:tab w:val="left" w:pos="6810"/>
        </w:tabs>
        <w:jc w:val="both"/>
        <w:rPr>
          <w:rFonts w:ascii="Tahoma" w:hAnsi="Tahoma" w:cs="Tahoma"/>
          <w:sz w:val="20"/>
          <w:szCs w:val="20"/>
          <w:lang w:val="es-ES"/>
        </w:rPr>
      </w:pPr>
      <w:r w:rsidRPr="00B43C29">
        <w:rPr>
          <w:rFonts w:ascii="Tahoma" w:hAnsi="Tahoma" w:cs="Tahoma"/>
          <w:sz w:val="20"/>
          <w:szCs w:val="20"/>
          <w:lang w:val="es-ES"/>
        </w:rPr>
        <w:t>Equipamiento colectivo educativo - escala zonal. Centros tecnológicos y educación no formal hasta 1000 alumnos.</w:t>
      </w:r>
    </w:p>
    <w:p w14:paraId="0843375B" w14:textId="77777777" w:rsidR="00B43C29" w:rsidRPr="00B43C29" w:rsidRDefault="00B43C29" w:rsidP="00B43C29">
      <w:pPr>
        <w:tabs>
          <w:tab w:val="left" w:pos="6810"/>
        </w:tabs>
        <w:jc w:val="both"/>
        <w:rPr>
          <w:rFonts w:ascii="Tahoma" w:hAnsi="Tahoma" w:cs="Tahoma"/>
          <w:sz w:val="20"/>
          <w:szCs w:val="20"/>
          <w:lang w:val="es-ES"/>
        </w:rPr>
      </w:pPr>
    </w:p>
    <w:p w14:paraId="15AF5FC6" w14:textId="77777777" w:rsidR="00B43C29" w:rsidRPr="00B43C29" w:rsidRDefault="00B43C29" w:rsidP="00B43C29">
      <w:pPr>
        <w:numPr>
          <w:ilvl w:val="0"/>
          <w:numId w:val="8"/>
        </w:numPr>
        <w:tabs>
          <w:tab w:val="left" w:pos="6810"/>
        </w:tabs>
        <w:jc w:val="both"/>
        <w:rPr>
          <w:rFonts w:ascii="Tahoma" w:hAnsi="Tahoma" w:cs="Tahoma"/>
          <w:sz w:val="20"/>
          <w:szCs w:val="20"/>
          <w:lang w:val="es-ES"/>
        </w:rPr>
      </w:pPr>
      <w:r w:rsidRPr="00B43C29">
        <w:rPr>
          <w:rFonts w:ascii="Tahoma" w:hAnsi="Tahoma" w:cs="Tahoma"/>
          <w:sz w:val="20"/>
          <w:szCs w:val="20"/>
          <w:lang w:val="es-ES"/>
        </w:rPr>
        <w:t>Equipamiento colectivo educativo - escala vecinal. Escuelas de formación artística hasta 50 alumnos.</w:t>
      </w:r>
    </w:p>
    <w:p w14:paraId="03F9EDE0" w14:textId="77777777" w:rsidR="00B43C29" w:rsidRPr="00B43C29" w:rsidRDefault="00B43C29" w:rsidP="00B43C29">
      <w:pPr>
        <w:tabs>
          <w:tab w:val="left" w:pos="6810"/>
        </w:tabs>
        <w:jc w:val="both"/>
        <w:rPr>
          <w:rFonts w:ascii="Tahoma" w:hAnsi="Tahoma" w:cs="Tahoma"/>
          <w:sz w:val="20"/>
          <w:szCs w:val="20"/>
          <w:lang w:val="es-ES"/>
        </w:rPr>
      </w:pPr>
    </w:p>
    <w:p w14:paraId="26274DAB"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2.7.1.7 Si la licencia de construcción fue expedida entre el 26 de agosto de 2013 y el 29 de diciembre de 2021 en vigencia del Decreto 364 de 2013 deberá tener autorizado el siguiente uso, de conformidad con lo señalado en el artículo 251, correspondiente al uso dotacional servicios sociales educación.</w:t>
      </w:r>
    </w:p>
    <w:p w14:paraId="4CDB61CD" w14:textId="77777777" w:rsidR="00B43C29" w:rsidRPr="00B43C29" w:rsidRDefault="00B43C29" w:rsidP="00B43C29">
      <w:pPr>
        <w:tabs>
          <w:tab w:val="left" w:pos="6810"/>
        </w:tabs>
        <w:jc w:val="both"/>
        <w:rPr>
          <w:rFonts w:ascii="Tahoma" w:hAnsi="Tahoma" w:cs="Tahoma"/>
          <w:sz w:val="20"/>
          <w:szCs w:val="20"/>
          <w:lang w:val="es-ES"/>
        </w:rPr>
      </w:pPr>
    </w:p>
    <w:p w14:paraId="1743D6A8"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 xml:space="preserve">2.7.1.8 Si la licencia de construcción fue expedida a partir del 30 de diciembre de 2021 en vigencia del Decreto 555 de 2021 deberá tener autorizado el siguiente uso, de conformidad con lo señalado en el literal a del numeral </w:t>
      </w:r>
      <w:proofErr w:type="spellStart"/>
      <w:r w:rsidRPr="00B43C29">
        <w:rPr>
          <w:rFonts w:ascii="Tahoma" w:hAnsi="Tahoma" w:cs="Tahoma"/>
          <w:sz w:val="20"/>
          <w:szCs w:val="20"/>
          <w:lang w:val="es-ES"/>
        </w:rPr>
        <w:lastRenderedPageBreak/>
        <w:t>ii</w:t>
      </w:r>
      <w:proofErr w:type="spellEnd"/>
      <w:r w:rsidRPr="00B43C29">
        <w:rPr>
          <w:rFonts w:ascii="Tahoma" w:hAnsi="Tahoma" w:cs="Tahoma"/>
          <w:sz w:val="20"/>
          <w:szCs w:val="20"/>
          <w:lang w:val="es-ES"/>
        </w:rPr>
        <w:t xml:space="preserve"> del artículo 94, correspondiente al uso dotacionales servicios del cuidado – Tipo 1. Educación superior, educación para el trabajo, desarrollo y talento humano, y educación técnica, tecnológica, para la ciencia e innovación.</w:t>
      </w:r>
    </w:p>
    <w:p w14:paraId="208EB510" w14:textId="77777777" w:rsidR="00B43C29" w:rsidRPr="00B43C29" w:rsidRDefault="00B43C29" w:rsidP="00B43C29">
      <w:pPr>
        <w:tabs>
          <w:tab w:val="left" w:pos="6810"/>
        </w:tabs>
        <w:jc w:val="both"/>
        <w:rPr>
          <w:rFonts w:ascii="Tahoma" w:hAnsi="Tahoma" w:cs="Tahoma"/>
          <w:sz w:val="20"/>
          <w:szCs w:val="20"/>
          <w:lang w:val="es-ES"/>
        </w:rPr>
      </w:pPr>
    </w:p>
    <w:p w14:paraId="1DC4EBF9"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 xml:space="preserve">2.7.2    Acto de reconocimiento de edificaciones existentes.  Si el predio no cuenta con licencia de construcción, deberá cumplir con el uso previsto por las normas urbanísticas vigentes del distrito y haberse concluido la edificación como mínimo cinco (5) años antes del 18 de julio de 2017. Dicho documento será expedido por la Curaduría Urbana, de conformidad con lo establecido en el artículo 6 de la Ley 1848 de 2017. </w:t>
      </w:r>
    </w:p>
    <w:p w14:paraId="269D7C09" w14:textId="77777777" w:rsidR="00B43C29" w:rsidRPr="00B43C29" w:rsidRDefault="00B43C29" w:rsidP="00B43C29">
      <w:pPr>
        <w:tabs>
          <w:tab w:val="left" w:pos="6810"/>
        </w:tabs>
        <w:jc w:val="both"/>
        <w:rPr>
          <w:rFonts w:ascii="Tahoma" w:hAnsi="Tahoma" w:cs="Tahoma"/>
          <w:sz w:val="20"/>
          <w:szCs w:val="20"/>
          <w:lang w:val="es-ES"/>
        </w:rPr>
      </w:pPr>
    </w:p>
    <w:p w14:paraId="02AC312D"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 xml:space="preserve">2.7.2.1 Certificado de permiso de ocupación, o autorización de ocupación de inmueble o certificado técnico de ocupación. La competencia para emitirlo se determinará por la fecha de ejecutoria de la licencia de construcción, así: </w:t>
      </w:r>
    </w:p>
    <w:p w14:paraId="22E73EE7" w14:textId="77777777" w:rsidR="00B43C29" w:rsidRPr="00B43C29" w:rsidRDefault="00B43C29" w:rsidP="00B43C29">
      <w:pPr>
        <w:tabs>
          <w:tab w:val="left" w:pos="6810"/>
        </w:tabs>
        <w:jc w:val="both"/>
        <w:rPr>
          <w:rFonts w:ascii="Tahoma" w:hAnsi="Tahoma" w:cs="Tahoma"/>
          <w:sz w:val="20"/>
          <w:szCs w:val="20"/>
          <w:lang w:val="es-ES"/>
        </w:rPr>
      </w:pPr>
    </w:p>
    <w:p w14:paraId="1C64D633"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2.7.2.1.1 Certificado de Permiso de Ocupación. El competente para expedir dicho documento es el (la) alcalde(</w:t>
      </w:r>
      <w:proofErr w:type="spellStart"/>
      <w:r w:rsidRPr="00B43C29">
        <w:rPr>
          <w:rFonts w:ascii="Tahoma" w:hAnsi="Tahoma" w:cs="Tahoma"/>
          <w:sz w:val="20"/>
          <w:szCs w:val="20"/>
          <w:lang w:val="es-ES"/>
        </w:rPr>
        <w:t>sa</w:t>
      </w:r>
      <w:proofErr w:type="spellEnd"/>
      <w:r w:rsidRPr="00B43C29">
        <w:rPr>
          <w:rFonts w:ascii="Tahoma" w:hAnsi="Tahoma" w:cs="Tahoma"/>
          <w:sz w:val="20"/>
          <w:szCs w:val="20"/>
          <w:lang w:val="es-ES"/>
        </w:rPr>
        <w:t>) local, de conformidad con lo dispuesto en el artículo 54 del Decreto 1600 de 2005, o el artículo 56 del Decreto 564 de 2006 o el artículo 63 del Decreto 1469 de 2010, según corresponda para aquellas licencias que estén ejecutoriadas antes del 27 de enero de 2017 y aplica para las licencias de construcción autorizadas en las modalidades de obra nueva o reforzamiento estructural más otra modalidad.</w:t>
      </w:r>
    </w:p>
    <w:p w14:paraId="637A286F" w14:textId="77777777" w:rsidR="00B43C29" w:rsidRPr="00B43C29" w:rsidRDefault="00B43C29" w:rsidP="00B43C29">
      <w:pPr>
        <w:tabs>
          <w:tab w:val="left" w:pos="6810"/>
        </w:tabs>
        <w:jc w:val="both"/>
        <w:rPr>
          <w:rFonts w:ascii="Tahoma" w:hAnsi="Tahoma" w:cs="Tahoma"/>
          <w:sz w:val="20"/>
          <w:szCs w:val="20"/>
          <w:lang w:val="es-ES"/>
        </w:rPr>
      </w:pPr>
    </w:p>
    <w:p w14:paraId="606E1638"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2.7.2.1.2 Autorización de ocupación de Inmuebles (antes denominado certificado de permiso de ocupación). El competente para expedir dicho documento es el inspector(a) de policía de la respectiva localidad para aquellas licencias que estén ejecutoriadas desde el 28 de enero de 2017, de conformidad con lo dispuesto en el parágrafo 7 del artículo 92 de la Ley 1801 de 2016 dando cumplimiento a lo señalado en el artículo 2.2.6.1.4.1 del Decreto 1077 de 2015, y artículo 13 del Decreto 1203 de 2017. Aplica para las licencias de construcción autorizadas para las modalidades (obra nueva o reforzamiento estructural más otra modalidad).</w:t>
      </w:r>
    </w:p>
    <w:p w14:paraId="7A5751C2" w14:textId="77777777" w:rsidR="00B43C29" w:rsidRPr="00B43C29" w:rsidRDefault="00B43C29" w:rsidP="00B43C29">
      <w:pPr>
        <w:tabs>
          <w:tab w:val="left" w:pos="6810"/>
        </w:tabs>
        <w:jc w:val="both"/>
        <w:rPr>
          <w:rFonts w:ascii="Tahoma" w:hAnsi="Tahoma" w:cs="Tahoma"/>
          <w:sz w:val="20"/>
          <w:szCs w:val="20"/>
          <w:lang w:val="es-ES"/>
        </w:rPr>
      </w:pPr>
    </w:p>
    <w:p w14:paraId="02E88381"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2.7.2.1.3 Certificado Técnico de Ocupación. Entendido como aquel documento que se expide para proyectos constructivos que tienen una superficie superior a los 2.000 metros cuadrados y que hayan radicado la solicitud de licencia de construcción a partir del 1 de julio de 2017 y el competente para expedir dicho documento será el supervisor técnico independiente de la obra, el cual deberá hacerlo bajo gravedad de juramento y aplica para las licencias de construcción autorizadas para las modalidades (obra nueva o reforzamiento estructural más otra modalidad) dando cumplimiento a las normas reglamentarias (Ley 1796 de 2016, artículo 4 del Decreto 945 de 2017 y Decreto 1203 de 2017).</w:t>
      </w:r>
    </w:p>
    <w:p w14:paraId="2D09A170" w14:textId="77777777" w:rsidR="00B43C29" w:rsidRPr="00B43C29" w:rsidRDefault="00B43C29" w:rsidP="00B43C29">
      <w:pPr>
        <w:tabs>
          <w:tab w:val="left" w:pos="6810"/>
        </w:tabs>
        <w:jc w:val="both"/>
        <w:rPr>
          <w:rFonts w:ascii="Tahoma" w:hAnsi="Tahoma" w:cs="Tahoma"/>
          <w:sz w:val="20"/>
          <w:szCs w:val="20"/>
          <w:lang w:val="es-ES"/>
        </w:rPr>
      </w:pPr>
    </w:p>
    <w:p w14:paraId="65831AA8"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2.7.3 Proyecto del plan escolar de gestión del riesgo y cambio climático PEGR-CC. El solicitante deberá presentar el proyecto del PEGR-CC (en medio físico o magnético) de conformidad con el anexo técnico denominado "</w:t>
      </w:r>
      <w:r w:rsidRPr="00B43C29">
        <w:rPr>
          <w:rFonts w:ascii="Tahoma" w:hAnsi="Tahoma" w:cs="Tahoma"/>
          <w:i/>
          <w:iCs/>
          <w:sz w:val="20"/>
          <w:szCs w:val="20"/>
          <w:lang w:val="es-ES"/>
        </w:rPr>
        <w:t>Lineamientos para la elaboración del plan escolar de gestión de riesgos y cambio climático"</w:t>
      </w:r>
      <w:r w:rsidRPr="00B43C29">
        <w:rPr>
          <w:rFonts w:ascii="Tahoma" w:hAnsi="Tahoma" w:cs="Tahoma"/>
          <w:sz w:val="20"/>
          <w:szCs w:val="20"/>
          <w:lang w:val="es-ES"/>
        </w:rPr>
        <w:t xml:space="preserve"> conforme lo previsto en el artículo 3 de la Resolución 7550 de 1994 proferida por el Ministerio de Educación Nacional y el artículo 5 de la Resolución 592 de 2015 expedida por la Instituto Distrital de Gestión de Riesgos y Cambio Climático- IDIGER de Bogotá D.C.</w:t>
      </w:r>
    </w:p>
    <w:p w14:paraId="71A28F1F" w14:textId="77777777" w:rsidR="00B43C29" w:rsidRPr="00B43C29" w:rsidRDefault="00B43C29" w:rsidP="00B43C29">
      <w:pPr>
        <w:tabs>
          <w:tab w:val="left" w:pos="6810"/>
        </w:tabs>
        <w:jc w:val="both"/>
        <w:rPr>
          <w:rFonts w:ascii="Tahoma" w:hAnsi="Tahoma" w:cs="Tahoma"/>
          <w:sz w:val="20"/>
          <w:szCs w:val="20"/>
          <w:lang w:val="es-ES"/>
        </w:rPr>
      </w:pPr>
    </w:p>
    <w:p w14:paraId="04598E47"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Parágrafo 1. Si la licencia de construcción presentada contempla alguno de los usos autorizados en la normativa urbana antes señalada (independiente de la fecha de expedición de esta), se tendrá como válida dicha licencia sin necesidad de recurrir a aclaraciones.</w:t>
      </w:r>
    </w:p>
    <w:p w14:paraId="7AB3F090" w14:textId="77777777" w:rsidR="00B43C29" w:rsidRPr="00B43C29" w:rsidRDefault="00B43C29" w:rsidP="00B43C29">
      <w:pPr>
        <w:tabs>
          <w:tab w:val="left" w:pos="6810"/>
        </w:tabs>
        <w:jc w:val="both"/>
        <w:rPr>
          <w:rFonts w:ascii="Tahoma" w:hAnsi="Tahoma" w:cs="Tahoma"/>
          <w:sz w:val="20"/>
          <w:szCs w:val="20"/>
          <w:lang w:val="es-ES"/>
        </w:rPr>
      </w:pPr>
    </w:p>
    <w:p w14:paraId="6420BC0C"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Parágrafo 2. Si el certificado de permiso de ocupación o autorización de ocupación de inmueble contiene observaciones referentes al cumplimiento de las normas de sismo resistencia se deberá pedir aclaración por parte del Equipo Local de Inspección y Vigilancia directamente a la autoridad que lo expidió.</w:t>
      </w:r>
    </w:p>
    <w:p w14:paraId="56DAFC63" w14:textId="77777777" w:rsidR="00B43C29" w:rsidRPr="00B43C29" w:rsidRDefault="00B43C29" w:rsidP="00B43C29">
      <w:pPr>
        <w:tabs>
          <w:tab w:val="left" w:pos="6810"/>
        </w:tabs>
        <w:jc w:val="both"/>
        <w:rPr>
          <w:rFonts w:ascii="Tahoma" w:hAnsi="Tahoma" w:cs="Tahoma"/>
          <w:sz w:val="20"/>
          <w:szCs w:val="20"/>
          <w:lang w:val="es-ES"/>
        </w:rPr>
      </w:pPr>
    </w:p>
    <w:p w14:paraId="2A114E9D"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Parágrafo 3. En caso de que el servicio se vaya a ofrecer en más de un inmueble identificado con más de una nomenclatura, no se exigirá como requisito el englobe del predio para ningún trámite aquí señalado, siempre y cuando se encuentren relacionadas las nomenclaturas en la respectiva licencia de construcción y/o se aporten las licencias de construcción de cada uno de los inmuebles.</w:t>
      </w:r>
    </w:p>
    <w:p w14:paraId="75019F0B" w14:textId="77777777" w:rsidR="00B43C29" w:rsidRPr="00B43C29" w:rsidRDefault="00B43C29" w:rsidP="00B43C29">
      <w:pPr>
        <w:tabs>
          <w:tab w:val="left" w:pos="6810"/>
        </w:tabs>
        <w:jc w:val="both"/>
        <w:rPr>
          <w:rFonts w:ascii="Tahoma" w:hAnsi="Tahoma" w:cs="Tahoma"/>
          <w:sz w:val="20"/>
          <w:szCs w:val="20"/>
          <w:lang w:val="es-ES"/>
        </w:rPr>
      </w:pPr>
    </w:p>
    <w:p w14:paraId="5A3F6A2C"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Artículo 3</w:t>
      </w:r>
      <w:proofErr w:type="gramStart"/>
      <w:r w:rsidRPr="00B43C29">
        <w:rPr>
          <w:rFonts w:ascii="Tahoma" w:hAnsi="Tahoma" w:cs="Tahoma"/>
          <w:sz w:val="20"/>
          <w:szCs w:val="20"/>
          <w:lang w:val="es-ES"/>
        </w:rPr>
        <w:t>°.-</w:t>
      </w:r>
      <w:proofErr w:type="gramEnd"/>
      <w:r w:rsidRPr="00B43C29">
        <w:rPr>
          <w:rFonts w:ascii="Tahoma" w:hAnsi="Tahoma" w:cs="Tahoma"/>
          <w:sz w:val="20"/>
          <w:szCs w:val="20"/>
          <w:lang w:val="es-ES"/>
        </w:rPr>
        <w:t xml:space="preserve"> Norma de sismo resistencia. Las respectivas licencias de construcción deberán dar cumplimiento a las normas de sismo resistencia para servicios educativos, así:</w:t>
      </w:r>
    </w:p>
    <w:p w14:paraId="4DD8F984" w14:textId="77777777" w:rsidR="00B43C29" w:rsidRPr="00B43C29" w:rsidRDefault="00B43C29" w:rsidP="00B43C29">
      <w:pPr>
        <w:tabs>
          <w:tab w:val="left" w:pos="6810"/>
        </w:tabs>
        <w:jc w:val="both"/>
        <w:rPr>
          <w:rFonts w:ascii="Tahoma" w:hAnsi="Tahoma" w:cs="Tahoma"/>
          <w:sz w:val="20"/>
          <w:szCs w:val="20"/>
          <w:lang w:val="es-ES"/>
        </w:rPr>
      </w:pPr>
    </w:p>
    <w:p w14:paraId="17E92D80"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3.1 Si la licencia de construcción fue expedida antes del 7 de junio de 1984, dichas licencias no dan cumplimiento a las normas de sismo resistencia por no estar reguladas, por lo que se deberá solicitar licencia de construcción de reforzamiento estructural.</w:t>
      </w:r>
    </w:p>
    <w:p w14:paraId="6783343B" w14:textId="77777777" w:rsidR="00B43C29" w:rsidRPr="00B43C29" w:rsidRDefault="00B43C29" w:rsidP="00B43C29">
      <w:pPr>
        <w:tabs>
          <w:tab w:val="left" w:pos="6810"/>
        </w:tabs>
        <w:jc w:val="both"/>
        <w:rPr>
          <w:rFonts w:ascii="Tahoma" w:hAnsi="Tahoma" w:cs="Tahoma"/>
          <w:sz w:val="20"/>
          <w:szCs w:val="20"/>
          <w:lang w:val="es-ES"/>
        </w:rPr>
      </w:pPr>
    </w:p>
    <w:p w14:paraId="2F77A622"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 xml:space="preserve">3.2 Si la licencia de construcción fue expedida antes del 25 de febrero de 1998, deberá mencionar el Decreto 1400 del 7 de junio de 1984 y tener autorizado obra construcción y/o modificación, según corresponda. </w:t>
      </w:r>
    </w:p>
    <w:p w14:paraId="1C2D3301" w14:textId="77777777" w:rsidR="00B43C29" w:rsidRPr="00B43C29" w:rsidRDefault="00B43C29" w:rsidP="00B43C29">
      <w:pPr>
        <w:tabs>
          <w:tab w:val="left" w:pos="6810"/>
        </w:tabs>
        <w:jc w:val="both"/>
        <w:rPr>
          <w:rFonts w:ascii="Tahoma" w:hAnsi="Tahoma" w:cs="Tahoma"/>
          <w:sz w:val="20"/>
          <w:szCs w:val="20"/>
          <w:lang w:val="es-ES"/>
        </w:rPr>
      </w:pPr>
    </w:p>
    <w:p w14:paraId="0D0A803D"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3.2 Si la licencia de construcción fue expedida entre el 25 de febrero de 1998 y el 14 de diciembre de 2010, deberá mencionar el Acuerdo 20 de 1995, la Ley 400 de 1997 y NSR-98 (Decreto 33 de 1998, Decreto 34 de 1999 y modificatorio Decreto 2809 de 2000), tener autorizada la modalidad de licencia de obra nueva o reforzamiento estructural más otra modalidad, según corresponda en el proyecto y el cumplimiento de las normas de seguridad humana expresadas en el titulo A, I, J y K.</w:t>
      </w:r>
    </w:p>
    <w:p w14:paraId="66E65396" w14:textId="77777777" w:rsidR="00B43C29" w:rsidRPr="00B43C29" w:rsidRDefault="00B43C29" w:rsidP="00B43C29">
      <w:pPr>
        <w:tabs>
          <w:tab w:val="left" w:pos="6810"/>
        </w:tabs>
        <w:jc w:val="both"/>
        <w:rPr>
          <w:rFonts w:ascii="Tahoma" w:hAnsi="Tahoma" w:cs="Tahoma"/>
          <w:sz w:val="20"/>
          <w:szCs w:val="20"/>
          <w:lang w:val="es-ES"/>
        </w:rPr>
      </w:pPr>
    </w:p>
    <w:p w14:paraId="2D21A0DF"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3.3 Si la licencia de construcción fue expedida a partir del 15 de diciembre de 2010 en adelante deberá mencionar la NSR-10 (Decreto 926 de 2010 modificado por los Decretos 2525 de 2010, 092 de 2011, 340 de 2012, 945 de 2017, 2113 de 2019 y 1711 de 2021), según corresponda, tener autorizado la modalidad de licencia de obra nueva o reforzamiento estructural más otra modalidad y el cumplimiento de las normas de seguridad humana expresadas en el título A, I, J y K.</w:t>
      </w:r>
    </w:p>
    <w:p w14:paraId="7E255CC1" w14:textId="77777777" w:rsidR="00B43C29" w:rsidRPr="00B43C29" w:rsidRDefault="00B43C29" w:rsidP="00B43C29">
      <w:pPr>
        <w:tabs>
          <w:tab w:val="left" w:pos="6810"/>
        </w:tabs>
        <w:jc w:val="both"/>
        <w:rPr>
          <w:rFonts w:ascii="Tahoma" w:hAnsi="Tahoma" w:cs="Tahoma"/>
          <w:sz w:val="20"/>
          <w:szCs w:val="20"/>
          <w:lang w:val="es-ES"/>
        </w:rPr>
      </w:pPr>
    </w:p>
    <w:p w14:paraId="7A645ED5"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Para las licencias de construcción en suelo rural y suburbano aplicará lo estipulado en el capítulo 2 del Decreto 1077 de 2015 y demás normas que lo adicionen, modifiquen o sustituyan. Así como lo previsto en los Planes de Ordenamiento Territorial y sus instrumentos reglamentarios.</w:t>
      </w:r>
    </w:p>
    <w:p w14:paraId="779701FE" w14:textId="77777777" w:rsidR="00B43C29" w:rsidRPr="00B43C29" w:rsidRDefault="00B43C29" w:rsidP="00B43C29">
      <w:pPr>
        <w:tabs>
          <w:tab w:val="left" w:pos="6810"/>
        </w:tabs>
        <w:jc w:val="both"/>
        <w:rPr>
          <w:rFonts w:ascii="Tahoma" w:hAnsi="Tahoma" w:cs="Tahoma"/>
          <w:sz w:val="20"/>
          <w:szCs w:val="20"/>
          <w:lang w:val="es-ES"/>
        </w:rPr>
      </w:pPr>
    </w:p>
    <w:p w14:paraId="77346DC6"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 xml:space="preserve">Parágrafo 1. La licencia de construcción expedida por el curador urbano en la modalidad de obra nueva o de reforzamiento estructural, precisa la norma de sismo resistencia de la edificación. </w:t>
      </w:r>
    </w:p>
    <w:p w14:paraId="3164328D" w14:textId="77777777" w:rsidR="00B43C29" w:rsidRPr="00B43C29" w:rsidRDefault="00B43C29" w:rsidP="00B43C29">
      <w:pPr>
        <w:tabs>
          <w:tab w:val="left" w:pos="6810"/>
        </w:tabs>
        <w:jc w:val="both"/>
        <w:rPr>
          <w:rFonts w:ascii="Tahoma" w:hAnsi="Tahoma" w:cs="Tahoma"/>
          <w:sz w:val="20"/>
          <w:szCs w:val="20"/>
          <w:lang w:val="es-ES"/>
        </w:rPr>
      </w:pPr>
    </w:p>
    <w:p w14:paraId="6BF41B2B"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En caso de que el peticionario presente licencias de construcción en alguna de las siguientes modalidades modificación, ampliación, demolición parcial, demolición total, adecuación, restauración, reconstrucción y cerramiento, se deberá solicitar al peticionario los antecedentes del licenciamiento del inmueble, para la verificación del cumplimiento de la norma de sismo resistencia.</w:t>
      </w:r>
    </w:p>
    <w:p w14:paraId="0EC3398F"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lastRenderedPageBreak/>
        <w:t xml:space="preserve"> </w:t>
      </w:r>
    </w:p>
    <w:p w14:paraId="7283DD04"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Parágrafo 2. En caso de presentar licencias de construcción en modalidades de modificación, ampliación, demolición parcial, demolición total, adecuación, restauración, reconstrucción y cerramiento, deberán adjuntar la licencia de construcción anterior(es) bajo la modalidad de reforzamiento o de obra nueva, para cumplir con el requisito de las normas de sismo resistencia.</w:t>
      </w:r>
    </w:p>
    <w:p w14:paraId="47C2D9E4" w14:textId="77777777" w:rsidR="00B43C29" w:rsidRPr="00B43C29" w:rsidRDefault="00B43C29" w:rsidP="00B43C29">
      <w:pPr>
        <w:tabs>
          <w:tab w:val="left" w:pos="6810"/>
        </w:tabs>
        <w:jc w:val="both"/>
        <w:rPr>
          <w:rFonts w:ascii="Tahoma" w:hAnsi="Tahoma" w:cs="Tahoma"/>
          <w:sz w:val="20"/>
          <w:szCs w:val="20"/>
          <w:lang w:val="es-ES"/>
        </w:rPr>
      </w:pPr>
    </w:p>
    <w:p w14:paraId="192DC7FD" w14:textId="77777777" w:rsidR="00B43C29" w:rsidRPr="00B43C29" w:rsidRDefault="00B43C29" w:rsidP="00B43C29">
      <w:pPr>
        <w:tabs>
          <w:tab w:val="left" w:pos="6810"/>
        </w:tabs>
        <w:jc w:val="both"/>
        <w:rPr>
          <w:rFonts w:ascii="Tahoma" w:hAnsi="Tahoma" w:cs="Tahoma"/>
          <w:sz w:val="20"/>
          <w:szCs w:val="20"/>
          <w:lang w:val="es-ES"/>
        </w:rPr>
      </w:pPr>
      <w:r w:rsidRPr="005C56BE">
        <w:rPr>
          <w:rFonts w:ascii="Tahoma" w:hAnsi="Tahoma" w:cs="Tahoma"/>
          <w:b/>
          <w:bCs/>
          <w:sz w:val="20"/>
          <w:szCs w:val="20"/>
          <w:lang w:val="es-ES"/>
        </w:rPr>
        <w:t>Artículo 4</w:t>
      </w:r>
      <w:proofErr w:type="gramStart"/>
      <w:r w:rsidRPr="005C56BE">
        <w:rPr>
          <w:rFonts w:ascii="Tahoma" w:hAnsi="Tahoma" w:cs="Tahoma"/>
          <w:b/>
          <w:bCs/>
          <w:sz w:val="20"/>
          <w:szCs w:val="20"/>
          <w:lang w:val="es-ES"/>
        </w:rPr>
        <w:t>°.-</w:t>
      </w:r>
      <w:proofErr w:type="gramEnd"/>
      <w:r w:rsidRPr="00B43C29">
        <w:rPr>
          <w:rFonts w:ascii="Tahoma" w:hAnsi="Tahoma" w:cs="Tahoma"/>
          <w:sz w:val="20"/>
          <w:szCs w:val="20"/>
          <w:lang w:val="es-ES"/>
        </w:rPr>
        <w:t xml:space="preserve"> </w:t>
      </w:r>
      <w:r w:rsidRPr="005C56BE">
        <w:rPr>
          <w:rFonts w:ascii="Tahoma" w:hAnsi="Tahoma" w:cs="Tahoma"/>
          <w:b/>
          <w:bCs/>
          <w:sz w:val="20"/>
          <w:szCs w:val="20"/>
          <w:lang w:val="es-ES"/>
        </w:rPr>
        <w:t>Casos especiales que no requieren tramitar licencia de funcionamiento</w:t>
      </w:r>
      <w:r w:rsidRPr="00B43C29">
        <w:rPr>
          <w:rFonts w:ascii="Tahoma" w:hAnsi="Tahoma" w:cs="Tahoma"/>
          <w:sz w:val="20"/>
          <w:szCs w:val="20"/>
          <w:lang w:val="es-ES"/>
        </w:rPr>
        <w:t>. En los siguientes casos no se requiere tramitar la licencia de funcionamiento, sin perjuicio de la obligación que reviste de registrar en la Dirección Local de Educación correspondiente los programas que pretenda ofertar, así:</w:t>
      </w:r>
    </w:p>
    <w:p w14:paraId="0C5DE551" w14:textId="77777777" w:rsidR="00B43C29" w:rsidRPr="00B43C29" w:rsidRDefault="00B43C29" w:rsidP="00B43C29">
      <w:pPr>
        <w:tabs>
          <w:tab w:val="left" w:pos="6810"/>
        </w:tabs>
        <w:jc w:val="both"/>
        <w:rPr>
          <w:rFonts w:ascii="Tahoma" w:hAnsi="Tahoma" w:cs="Tahoma"/>
          <w:sz w:val="20"/>
          <w:szCs w:val="20"/>
          <w:lang w:val="es-ES"/>
        </w:rPr>
      </w:pPr>
    </w:p>
    <w:p w14:paraId="093314F1"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4.1 Instituciones con reconocimiento de carácter oficial. Las entidades de carácter estatal que deseen ofrecer educación para el trabajo y el desarrollo humano deben tener competencia para esto y deberán aportar el acto administrativo de creación de la IETDH, de conformidad con lo señalado en el artículo 2.6.3.3 del Decreto 1075 de 2015.</w:t>
      </w:r>
    </w:p>
    <w:p w14:paraId="07B72417" w14:textId="77777777" w:rsidR="00B43C29" w:rsidRPr="00B43C29" w:rsidRDefault="00B43C29" w:rsidP="00B43C29">
      <w:pPr>
        <w:tabs>
          <w:tab w:val="left" w:pos="6810"/>
        </w:tabs>
        <w:jc w:val="both"/>
        <w:rPr>
          <w:rFonts w:ascii="Tahoma" w:hAnsi="Tahoma" w:cs="Tahoma"/>
          <w:sz w:val="20"/>
          <w:szCs w:val="20"/>
          <w:lang w:val="es-ES"/>
        </w:rPr>
      </w:pPr>
    </w:p>
    <w:p w14:paraId="17F04539" w14:textId="77777777" w:rsidR="00B43C29" w:rsidRPr="00B43C29" w:rsidRDefault="00B43C29" w:rsidP="00B43C29">
      <w:pPr>
        <w:tabs>
          <w:tab w:val="left" w:pos="6810"/>
        </w:tabs>
        <w:jc w:val="both"/>
        <w:rPr>
          <w:rFonts w:ascii="Tahoma" w:hAnsi="Tahoma" w:cs="Tahoma"/>
          <w:sz w:val="20"/>
          <w:szCs w:val="20"/>
        </w:rPr>
      </w:pPr>
      <w:r w:rsidRPr="00B43C29">
        <w:rPr>
          <w:rFonts w:ascii="Tahoma" w:hAnsi="Tahoma" w:cs="Tahoma"/>
          <w:sz w:val="20"/>
          <w:szCs w:val="20"/>
        </w:rPr>
        <w:t>4.2 Organismos de cooperación internacional. El convenio bilateral de cooperación técnica o cultural suscrito con el organismo internacional hace las veces de la licencia de funcionamiento y será el documento que se deberá aportar a la DILE para su registro.</w:t>
      </w:r>
    </w:p>
    <w:p w14:paraId="779C5E64" w14:textId="77777777" w:rsidR="00B43C29" w:rsidRPr="00B43C29" w:rsidRDefault="00B43C29" w:rsidP="00B43C29">
      <w:pPr>
        <w:tabs>
          <w:tab w:val="left" w:pos="6810"/>
        </w:tabs>
        <w:jc w:val="both"/>
        <w:rPr>
          <w:rFonts w:ascii="Tahoma" w:hAnsi="Tahoma" w:cs="Tahoma"/>
          <w:sz w:val="20"/>
          <w:szCs w:val="20"/>
        </w:rPr>
      </w:pPr>
    </w:p>
    <w:p w14:paraId="44DE157E"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Los programas de educación para el trabajo y el desarrollo humano en el área de idiomas no requerirán registro si venían prestándose antes del 18 de diciembre de 2009 por estos organismos, dentro del marco de convenios bilaterales de cooperación técnica o cultural, y deberá informar a la Secretaría de Educación para que se incluyan en el Sistema de Información de la Educación para el Trabajo y el Desarrollo Humano.</w:t>
      </w:r>
    </w:p>
    <w:p w14:paraId="16EB63A9" w14:textId="77777777" w:rsidR="00B43C29" w:rsidRPr="00B43C29" w:rsidRDefault="00B43C29" w:rsidP="00B43C29">
      <w:pPr>
        <w:tabs>
          <w:tab w:val="left" w:pos="6810"/>
        </w:tabs>
        <w:jc w:val="both"/>
        <w:rPr>
          <w:rFonts w:ascii="Tahoma" w:hAnsi="Tahoma" w:cs="Tahoma"/>
          <w:sz w:val="20"/>
          <w:szCs w:val="20"/>
          <w:lang w:val="es-ES"/>
        </w:rPr>
      </w:pPr>
    </w:p>
    <w:p w14:paraId="5F5AF88C" w14:textId="77777777" w:rsidR="00B43C29" w:rsidRPr="00B43C29" w:rsidRDefault="00B43C29" w:rsidP="00B43C29">
      <w:pPr>
        <w:tabs>
          <w:tab w:val="left" w:pos="6810"/>
        </w:tabs>
        <w:jc w:val="both"/>
        <w:rPr>
          <w:rFonts w:ascii="Tahoma" w:hAnsi="Tahoma" w:cs="Tahoma"/>
          <w:sz w:val="20"/>
          <w:szCs w:val="20"/>
        </w:rPr>
      </w:pPr>
      <w:r w:rsidRPr="00B43C29">
        <w:rPr>
          <w:rFonts w:ascii="Tahoma" w:hAnsi="Tahoma" w:cs="Tahoma"/>
          <w:sz w:val="20"/>
          <w:szCs w:val="20"/>
          <w:lang w:val="es-ES"/>
        </w:rPr>
        <w:t>Los programas con posterioridad al 18 de diciembre del 2009 deberán ser registrados ante las Dirección Local de Educación correspondiente a la ubicación de su sede principal</w:t>
      </w:r>
      <w:r w:rsidRPr="00B43C29">
        <w:rPr>
          <w:rFonts w:ascii="Tahoma" w:hAnsi="Tahoma" w:cs="Tahoma"/>
          <w:sz w:val="20"/>
          <w:szCs w:val="20"/>
        </w:rPr>
        <w:t xml:space="preserve">, conforme lo señalado en el artículo 2.6.6.11 del Decreto 1075 de 2015. </w:t>
      </w:r>
    </w:p>
    <w:p w14:paraId="3FFE0EDE" w14:textId="77777777" w:rsidR="00B43C29" w:rsidRPr="00B43C29" w:rsidRDefault="00B43C29" w:rsidP="00B43C29">
      <w:pPr>
        <w:tabs>
          <w:tab w:val="left" w:pos="6810"/>
        </w:tabs>
        <w:jc w:val="both"/>
        <w:rPr>
          <w:rFonts w:ascii="Tahoma" w:hAnsi="Tahoma" w:cs="Tahoma"/>
          <w:sz w:val="20"/>
          <w:szCs w:val="20"/>
        </w:rPr>
      </w:pPr>
    </w:p>
    <w:p w14:paraId="108D25BB"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4.3 Las instituciones de educación superior (IES). En los términos de lo señalado en el parágrafo 2 del artículo 2.6.4.1 del Decreto 1075 de 2015, las IES podrán ofrecer educación para el trabajo y desarrollo humano sin necesidad de licencia cuando sus estatutos lo permitan y así estén autorizados por el Ministerio de Educación Nacional, aportando:</w:t>
      </w:r>
    </w:p>
    <w:p w14:paraId="11ED2A90" w14:textId="77777777" w:rsidR="00B43C29" w:rsidRPr="00B43C29" w:rsidRDefault="00B43C29" w:rsidP="00B43C29">
      <w:pPr>
        <w:tabs>
          <w:tab w:val="left" w:pos="6810"/>
        </w:tabs>
        <w:jc w:val="both"/>
        <w:rPr>
          <w:rFonts w:ascii="Tahoma" w:hAnsi="Tahoma" w:cs="Tahoma"/>
          <w:sz w:val="20"/>
          <w:szCs w:val="20"/>
          <w:lang w:val="es-ES"/>
        </w:rPr>
      </w:pPr>
    </w:p>
    <w:p w14:paraId="52868F8F"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4.3.1 Copia del acto administrativo que le concedió personería jurídica expedido por el Ministerio de Educación Nacional o la autoridad que en su momento haya sido la competente para conceder dicha personería que autorice a la IES a ofrecer este servicio educativo.</w:t>
      </w:r>
    </w:p>
    <w:p w14:paraId="0F3E321A" w14:textId="77777777" w:rsidR="00B43C29" w:rsidRPr="00B43C29" w:rsidRDefault="00B43C29" w:rsidP="00B43C29">
      <w:pPr>
        <w:tabs>
          <w:tab w:val="left" w:pos="6810"/>
        </w:tabs>
        <w:jc w:val="both"/>
        <w:rPr>
          <w:rFonts w:ascii="Tahoma" w:hAnsi="Tahoma" w:cs="Tahoma"/>
          <w:sz w:val="20"/>
          <w:szCs w:val="20"/>
          <w:lang w:val="es-ES"/>
        </w:rPr>
      </w:pPr>
    </w:p>
    <w:p w14:paraId="6014B80E"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4.3.2 Certificado de existencia y representación legal, expedido por el Ministerio de Educación Nacional.</w:t>
      </w:r>
    </w:p>
    <w:p w14:paraId="15E5DC29" w14:textId="77777777" w:rsidR="00B43C29" w:rsidRPr="00B43C29" w:rsidRDefault="00B43C29" w:rsidP="00B43C29">
      <w:pPr>
        <w:tabs>
          <w:tab w:val="left" w:pos="6810"/>
        </w:tabs>
        <w:jc w:val="both"/>
        <w:rPr>
          <w:rFonts w:ascii="Tahoma" w:hAnsi="Tahoma" w:cs="Tahoma"/>
          <w:sz w:val="20"/>
          <w:szCs w:val="20"/>
          <w:lang w:val="es-ES"/>
        </w:rPr>
      </w:pPr>
    </w:p>
    <w:p w14:paraId="2E3BDA07"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4.3.3 Copia de los estatutos registrados ante el Ministerio de Educación Nacional.</w:t>
      </w:r>
    </w:p>
    <w:p w14:paraId="4927FCCF"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 xml:space="preserve">    </w:t>
      </w:r>
    </w:p>
    <w:p w14:paraId="1E1A68DE"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lastRenderedPageBreak/>
        <w:t xml:space="preserve">Parágrafo 1. En caso de que los estatutos no autoricen a la IES para ofrecer educación para el trabajo y desarrollo humano de forma explícita, deberá solicitar la expedición de licencia de funcionamiento y registro de programas ante la DILE, conforme lo dispuesto en el artículo 2.6.3.4 del Decreto 1075 de 2015. </w:t>
      </w:r>
    </w:p>
    <w:p w14:paraId="7635D40D" w14:textId="77777777" w:rsidR="00B43C29" w:rsidRPr="00B43C29" w:rsidRDefault="00B43C29" w:rsidP="00B43C29">
      <w:pPr>
        <w:tabs>
          <w:tab w:val="left" w:pos="6810"/>
        </w:tabs>
        <w:jc w:val="both"/>
        <w:rPr>
          <w:rFonts w:ascii="Tahoma" w:hAnsi="Tahoma" w:cs="Tahoma"/>
          <w:sz w:val="20"/>
          <w:szCs w:val="20"/>
          <w:lang w:val="es-ES"/>
        </w:rPr>
      </w:pPr>
    </w:p>
    <w:p w14:paraId="0A14FAE6"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Parágrafo 2. Si la IES funciona en una jurisdicción diferente a Bogotá no requiere tramitar licencia de funcionamiento ante ninguna DILE, sin embargo, debe contar con una sede autorizada por el Ministerio de Educación Nacional en el Distrito y registrar los programas ante la DILE de donde desarrollará el servicio de ETDH, cumpliendo los requisitos establecidos en el artículo 2.6.4.8 del citado decreto.</w:t>
      </w:r>
    </w:p>
    <w:p w14:paraId="61EA0CEA" w14:textId="77777777" w:rsidR="00B43C29" w:rsidRPr="00B43C29" w:rsidRDefault="00B43C29" w:rsidP="00B43C29">
      <w:pPr>
        <w:tabs>
          <w:tab w:val="left" w:pos="6810"/>
        </w:tabs>
        <w:jc w:val="both"/>
        <w:rPr>
          <w:rFonts w:ascii="Tahoma" w:hAnsi="Tahoma" w:cs="Tahoma"/>
          <w:sz w:val="20"/>
          <w:szCs w:val="20"/>
          <w:lang w:val="es-ES"/>
        </w:rPr>
      </w:pPr>
    </w:p>
    <w:p w14:paraId="6AFE5229" w14:textId="77777777" w:rsidR="00B43C29" w:rsidRPr="00B43C29" w:rsidRDefault="00B43C29" w:rsidP="00B43C29">
      <w:pPr>
        <w:tabs>
          <w:tab w:val="left" w:pos="6810"/>
        </w:tabs>
        <w:jc w:val="both"/>
        <w:rPr>
          <w:rFonts w:ascii="Tahoma" w:hAnsi="Tahoma" w:cs="Tahoma"/>
          <w:sz w:val="20"/>
          <w:szCs w:val="20"/>
          <w:lang w:val="es-ES"/>
        </w:rPr>
      </w:pPr>
    </w:p>
    <w:p w14:paraId="39A2D0FA" w14:textId="77777777" w:rsidR="00B43C29" w:rsidRPr="005C56BE" w:rsidRDefault="00B43C29" w:rsidP="005C56BE">
      <w:pPr>
        <w:tabs>
          <w:tab w:val="left" w:pos="6810"/>
        </w:tabs>
        <w:jc w:val="center"/>
        <w:rPr>
          <w:rFonts w:ascii="Tahoma" w:hAnsi="Tahoma" w:cs="Tahoma"/>
          <w:b/>
          <w:bCs/>
          <w:sz w:val="20"/>
          <w:szCs w:val="20"/>
          <w:lang w:val="es-ES"/>
        </w:rPr>
      </w:pPr>
      <w:r w:rsidRPr="005C56BE">
        <w:rPr>
          <w:rFonts w:ascii="Tahoma" w:hAnsi="Tahoma" w:cs="Tahoma"/>
          <w:b/>
          <w:bCs/>
          <w:sz w:val="20"/>
          <w:szCs w:val="20"/>
          <w:lang w:val="es-ES"/>
        </w:rPr>
        <w:t>TÍTULO II</w:t>
      </w:r>
    </w:p>
    <w:p w14:paraId="3637D7D2" w14:textId="77777777" w:rsidR="00B43C29" w:rsidRPr="005C56BE" w:rsidRDefault="00B43C29" w:rsidP="005C56BE">
      <w:pPr>
        <w:tabs>
          <w:tab w:val="left" w:pos="6810"/>
        </w:tabs>
        <w:jc w:val="center"/>
        <w:rPr>
          <w:rFonts w:ascii="Tahoma" w:hAnsi="Tahoma" w:cs="Tahoma"/>
          <w:b/>
          <w:bCs/>
          <w:sz w:val="20"/>
          <w:szCs w:val="20"/>
          <w:lang w:val="es-ES"/>
        </w:rPr>
      </w:pPr>
      <w:r w:rsidRPr="005C56BE">
        <w:rPr>
          <w:rFonts w:ascii="Tahoma" w:hAnsi="Tahoma" w:cs="Tahoma"/>
          <w:b/>
          <w:bCs/>
          <w:sz w:val="20"/>
          <w:szCs w:val="20"/>
          <w:lang w:val="es-ES"/>
        </w:rPr>
        <w:t>De la solicitud de modificación de licencia de funcionamiento</w:t>
      </w:r>
    </w:p>
    <w:p w14:paraId="175F5454" w14:textId="77777777" w:rsidR="00B43C29" w:rsidRPr="005C56BE" w:rsidRDefault="00B43C29" w:rsidP="00B43C29">
      <w:pPr>
        <w:tabs>
          <w:tab w:val="left" w:pos="6810"/>
        </w:tabs>
        <w:jc w:val="both"/>
        <w:rPr>
          <w:rFonts w:ascii="Tahoma" w:hAnsi="Tahoma" w:cs="Tahoma"/>
          <w:b/>
          <w:bCs/>
          <w:sz w:val="20"/>
          <w:szCs w:val="20"/>
          <w:lang w:val="es-ES"/>
        </w:rPr>
      </w:pPr>
    </w:p>
    <w:p w14:paraId="3F32E778" w14:textId="77777777" w:rsidR="00B43C29" w:rsidRPr="00B43C29" w:rsidRDefault="00B43C29" w:rsidP="00B43C29">
      <w:pPr>
        <w:tabs>
          <w:tab w:val="left" w:pos="6810"/>
        </w:tabs>
        <w:jc w:val="both"/>
        <w:rPr>
          <w:rFonts w:ascii="Tahoma" w:hAnsi="Tahoma" w:cs="Tahoma"/>
          <w:sz w:val="20"/>
          <w:szCs w:val="20"/>
          <w:lang w:val="es-ES"/>
        </w:rPr>
      </w:pPr>
      <w:r w:rsidRPr="005C56BE">
        <w:rPr>
          <w:rFonts w:ascii="Tahoma" w:hAnsi="Tahoma" w:cs="Tahoma"/>
          <w:b/>
          <w:bCs/>
          <w:sz w:val="20"/>
          <w:szCs w:val="20"/>
          <w:lang w:val="es-ES"/>
        </w:rPr>
        <w:t>Artículo 5°. - Causales de modificación de licencia de funcionamiento.</w:t>
      </w:r>
      <w:r w:rsidRPr="00B43C29">
        <w:rPr>
          <w:rFonts w:ascii="Tahoma" w:hAnsi="Tahoma" w:cs="Tahoma"/>
          <w:sz w:val="20"/>
          <w:szCs w:val="20"/>
          <w:lang w:val="es-ES"/>
        </w:rPr>
        <w:t xml:space="preserve"> De conformidad con lo señalado en el artículo 2.6.3.6 del Decreto 1075 de 2015, las causales para la modificación de la licencia de funcionamiento son las siguientes: </w:t>
      </w:r>
    </w:p>
    <w:p w14:paraId="1EE6AEFA"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 xml:space="preserve"> </w:t>
      </w:r>
    </w:p>
    <w:p w14:paraId="12D37222" w14:textId="780F9669"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5.1 Cambio de sede o apertura de nueva sede. El solicitante deberá presentar la solicitud de modificación de la licencia de funcionamiento ante la Dirección Local de Educación de la localidad donde se pretende prestar el servicio, acompañada de los siguientes documentos:</w:t>
      </w:r>
    </w:p>
    <w:p w14:paraId="54CE3680" w14:textId="77777777" w:rsidR="00B43C29" w:rsidRPr="00B43C29" w:rsidRDefault="00B43C29" w:rsidP="00B43C29">
      <w:pPr>
        <w:tabs>
          <w:tab w:val="left" w:pos="6810"/>
        </w:tabs>
        <w:jc w:val="both"/>
        <w:rPr>
          <w:rFonts w:ascii="Tahoma" w:hAnsi="Tahoma" w:cs="Tahoma"/>
          <w:sz w:val="20"/>
          <w:szCs w:val="20"/>
          <w:lang w:val="es-ES"/>
        </w:rPr>
      </w:pPr>
    </w:p>
    <w:p w14:paraId="060DB687"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5.1.1 Programas que proyecta desarrollar por jornadas (diurna, nocturna y fines de semana).</w:t>
      </w:r>
    </w:p>
    <w:p w14:paraId="57200D58" w14:textId="77777777" w:rsidR="00B43C29" w:rsidRPr="00B43C29" w:rsidRDefault="00B43C29" w:rsidP="00B43C29">
      <w:pPr>
        <w:tabs>
          <w:tab w:val="left" w:pos="6810"/>
        </w:tabs>
        <w:jc w:val="both"/>
        <w:rPr>
          <w:rFonts w:ascii="Tahoma" w:hAnsi="Tahoma" w:cs="Tahoma"/>
          <w:sz w:val="20"/>
          <w:szCs w:val="20"/>
          <w:lang w:val="es-ES"/>
        </w:rPr>
      </w:pPr>
    </w:p>
    <w:p w14:paraId="03ACBA92"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5.1.2 Número de estudiantes que proyecta atender.</w:t>
      </w:r>
    </w:p>
    <w:p w14:paraId="147E1F1A" w14:textId="77777777" w:rsidR="00B43C29" w:rsidRPr="00B43C29" w:rsidRDefault="00B43C29" w:rsidP="00B43C29">
      <w:pPr>
        <w:tabs>
          <w:tab w:val="left" w:pos="6810"/>
        </w:tabs>
        <w:jc w:val="both"/>
        <w:rPr>
          <w:rFonts w:ascii="Tahoma" w:hAnsi="Tahoma" w:cs="Tahoma"/>
          <w:sz w:val="20"/>
          <w:szCs w:val="20"/>
          <w:lang w:val="es-ES"/>
        </w:rPr>
      </w:pPr>
    </w:p>
    <w:p w14:paraId="457BD46E"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5.1.3 Identificación de la planta física: licencia de construcción o acto de reconocimiento y permiso de ocupación o autorización de ocupación de inmuebles o certificado técnico de ocupación (ver numeral 2.7 del artículo 2 del presente acto administrativo).</w:t>
      </w:r>
    </w:p>
    <w:p w14:paraId="3A914B57" w14:textId="77777777" w:rsidR="00B43C29" w:rsidRPr="00B43C29" w:rsidRDefault="00B43C29" w:rsidP="00B43C29">
      <w:pPr>
        <w:tabs>
          <w:tab w:val="left" w:pos="6810"/>
        </w:tabs>
        <w:jc w:val="both"/>
        <w:rPr>
          <w:rFonts w:ascii="Tahoma" w:hAnsi="Tahoma" w:cs="Tahoma"/>
          <w:sz w:val="20"/>
          <w:szCs w:val="20"/>
          <w:lang w:val="es-ES"/>
        </w:rPr>
      </w:pPr>
    </w:p>
    <w:p w14:paraId="7304181A"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 xml:space="preserve">5.1.4 Plan Escolar de Gestión del Riesgo y Cambio Climático PEGR-CC. El solicitante deberá presentar el PEGR-CC de conformidad con el anexo técnico denominado </w:t>
      </w:r>
      <w:r w:rsidRPr="00B43C29">
        <w:rPr>
          <w:rFonts w:ascii="Tahoma" w:hAnsi="Tahoma" w:cs="Tahoma"/>
          <w:i/>
          <w:iCs/>
          <w:sz w:val="20"/>
          <w:szCs w:val="20"/>
          <w:lang w:val="es-ES"/>
        </w:rPr>
        <w:t>"Lineamientos para la elaboración del Plan Escolar de Gestión de Riesgos y Cambio Climático</w:t>
      </w:r>
      <w:r w:rsidRPr="00B43C29">
        <w:rPr>
          <w:rFonts w:ascii="Tahoma" w:hAnsi="Tahoma" w:cs="Tahoma"/>
          <w:sz w:val="20"/>
          <w:szCs w:val="20"/>
          <w:lang w:val="es-ES"/>
        </w:rPr>
        <w:t>" y lo previsto en el artículo 5 de la Resolución No. 592 de 2015 expedida por el Instituto Distrital de Gestión de Riesgos y Cambio Climático - IDIGER de Bogotá D.C.</w:t>
      </w:r>
    </w:p>
    <w:p w14:paraId="7F1D92EE" w14:textId="77777777" w:rsidR="00B43C29" w:rsidRPr="00B43C29" w:rsidRDefault="00B43C29" w:rsidP="00B43C29">
      <w:pPr>
        <w:tabs>
          <w:tab w:val="left" w:pos="6810"/>
        </w:tabs>
        <w:jc w:val="both"/>
        <w:rPr>
          <w:rFonts w:ascii="Tahoma" w:hAnsi="Tahoma" w:cs="Tahoma"/>
          <w:sz w:val="20"/>
          <w:szCs w:val="20"/>
          <w:lang w:val="es-ES"/>
        </w:rPr>
      </w:pPr>
    </w:p>
    <w:p w14:paraId="2C9AAD79"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5.2 Cambio de propietario o titular de la licencia de funcionamiento. Si el cambio de propietario es entre personas naturales y/o jurídicas, el solicitante deberá aportar copia del certificado de existencia y representación legal de la persona jurídica o el documento de identidad de la persona natural que interviene, escritura pública o el documento privado que soporte el negocio jurídico, en este último caso deberá ser presentado personalmente por las partes (comprador y vendedor) ante la Dirección Local de Educación que corresponda.</w:t>
      </w:r>
    </w:p>
    <w:p w14:paraId="44FDBBEB" w14:textId="77777777" w:rsidR="00B43C29" w:rsidRPr="00B43C29" w:rsidRDefault="00B43C29" w:rsidP="00B43C29">
      <w:pPr>
        <w:tabs>
          <w:tab w:val="left" w:pos="6810"/>
        </w:tabs>
        <w:jc w:val="both"/>
        <w:rPr>
          <w:rFonts w:ascii="Tahoma" w:hAnsi="Tahoma" w:cs="Tahoma"/>
          <w:sz w:val="20"/>
          <w:szCs w:val="20"/>
          <w:lang w:val="es-ES"/>
        </w:rPr>
      </w:pPr>
    </w:p>
    <w:p w14:paraId="551F12B7"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 xml:space="preserve">5.3 Cambio de nombre del establecimiento educativo. Para la modificación de la licencia de funcionamiento por cambio de nombre del establecimiento educativo, se deberá aportar el acta expedida </w:t>
      </w:r>
      <w:bookmarkStart w:id="1" w:name="_Hlk176772568"/>
      <w:r w:rsidRPr="00B43C29">
        <w:rPr>
          <w:rFonts w:ascii="Tahoma" w:hAnsi="Tahoma" w:cs="Tahoma"/>
          <w:sz w:val="20"/>
          <w:szCs w:val="20"/>
          <w:lang w:val="es-ES"/>
        </w:rPr>
        <w:t xml:space="preserve">por el máximo órgano de </w:t>
      </w:r>
      <w:r w:rsidRPr="00B43C29">
        <w:rPr>
          <w:rFonts w:ascii="Tahoma" w:hAnsi="Tahoma" w:cs="Tahoma"/>
          <w:sz w:val="20"/>
          <w:szCs w:val="20"/>
          <w:lang w:val="es-ES"/>
        </w:rPr>
        <w:lastRenderedPageBreak/>
        <w:t>gobierno o el que haga sus veces</w:t>
      </w:r>
      <w:bookmarkEnd w:id="1"/>
      <w:r w:rsidRPr="00B43C29">
        <w:rPr>
          <w:rFonts w:ascii="Tahoma" w:hAnsi="Tahoma" w:cs="Tahoma"/>
          <w:sz w:val="20"/>
          <w:szCs w:val="20"/>
          <w:lang w:val="es-ES"/>
        </w:rPr>
        <w:t xml:space="preserve"> según el PEI de la IETDH, que autoriza el cambio de nombre y que acate el artículo 2.6.3.4 del Decreto 1075 de 2015.</w:t>
      </w:r>
    </w:p>
    <w:p w14:paraId="241DE959" w14:textId="77777777" w:rsidR="00B43C29" w:rsidRPr="00B43C29" w:rsidRDefault="00B43C29" w:rsidP="00B43C29">
      <w:pPr>
        <w:tabs>
          <w:tab w:val="left" w:pos="6810"/>
        </w:tabs>
        <w:jc w:val="both"/>
        <w:rPr>
          <w:rFonts w:ascii="Tahoma" w:hAnsi="Tahoma" w:cs="Tahoma"/>
          <w:sz w:val="20"/>
          <w:szCs w:val="20"/>
          <w:lang w:val="es-ES"/>
        </w:rPr>
      </w:pPr>
    </w:p>
    <w:p w14:paraId="2A8DC045"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5.4 Fusión institucional. El solicitante deberá aportar acta expedida por el máximo órgano de gobierno o el que haga sus veces de las IETDH que se pretenden fusionar y el PEI actualizado de acuerdo con la fusión solicitada.</w:t>
      </w:r>
    </w:p>
    <w:p w14:paraId="1B15CEBE" w14:textId="77777777" w:rsidR="00B43C29" w:rsidRPr="00B43C29" w:rsidRDefault="00B43C29" w:rsidP="00B43C29">
      <w:pPr>
        <w:tabs>
          <w:tab w:val="left" w:pos="6810"/>
        </w:tabs>
        <w:jc w:val="both"/>
        <w:rPr>
          <w:rFonts w:ascii="Tahoma" w:hAnsi="Tahoma" w:cs="Tahoma"/>
          <w:sz w:val="20"/>
          <w:szCs w:val="20"/>
          <w:lang w:val="es-ES"/>
        </w:rPr>
      </w:pPr>
    </w:p>
    <w:p w14:paraId="2EA900ED"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Parágrafo 1. La solicitud de modificación de la licencia de funcionamiento deberá ser presentada por el titular de esta ante la Dirección Local de la sede principal.</w:t>
      </w:r>
    </w:p>
    <w:p w14:paraId="24955CE4" w14:textId="77777777" w:rsidR="00B43C29" w:rsidRPr="00B43C29" w:rsidRDefault="00B43C29" w:rsidP="00B43C29">
      <w:pPr>
        <w:tabs>
          <w:tab w:val="left" w:pos="6810"/>
        </w:tabs>
        <w:jc w:val="both"/>
        <w:rPr>
          <w:rFonts w:ascii="Tahoma" w:hAnsi="Tahoma" w:cs="Tahoma"/>
          <w:sz w:val="20"/>
          <w:szCs w:val="20"/>
          <w:lang w:val="es-ES"/>
        </w:rPr>
      </w:pPr>
    </w:p>
    <w:p w14:paraId="111953AC"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 xml:space="preserve">Parágrafo 2. Cuando la modificación de la licencia de funcionamiento sea por apertura de sede en una localidad diferente a la principal, el peticionario radicará la solicitud ante la Dirección Local de Educación donde pretende habilitar una sede accesoria. </w:t>
      </w:r>
    </w:p>
    <w:p w14:paraId="13ABB3D8" w14:textId="77777777" w:rsidR="00B43C29" w:rsidRPr="00B43C29" w:rsidRDefault="00B43C29" w:rsidP="00B43C29">
      <w:pPr>
        <w:tabs>
          <w:tab w:val="left" w:pos="6810"/>
        </w:tabs>
        <w:jc w:val="both"/>
        <w:rPr>
          <w:rFonts w:ascii="Tahoma" w:hAnsi="Tahoma" w:cs="Tahoma"/>
          <w:sz w:val="20"/>
          <w:szCs w:val="20"/>
          <w:lang w:val="es-ES"/>
        </w:rPr>
      </w:pPr>
    </w:p>
    <w:p w14:paraId="3D1F2E73"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 xml:space="preserve">El equipo local de inspección y vigilancia - ELIV de la localidad donde se pretende la apertura de la sede accesoria valorará requisitos y emitirá concepto técnico pedagógico, el cual será enviado a la Dirección Local de Educación donde se concedió la licencia de funcionamiento de la sede principal, para que se proceda a expedir el acto administrativo correspondiente. </w:t>
      </w:r>
    </w:p>
    <w:p w14:paraId="7045C877" w14:textId="77777777" w:rsidR="00B43C29" w:rsidRPr="00B43C29" w:rsidRDefault="00B43C29" w:rsidP="00B43C29">
      <w:pPr>
        <w:tabs>
          <w:tab w:val="left" w:pos="6810"/>
        </w:tabs>
        <w:jc w:val="both"/>
        <w:rPr>
          <w:rFonts w:ascii="Tahoma" w:hAnsi="Tahoma" w:cs="Tahoma"/>
          <w:sz w:val="20"/>
          <w:szCs w:val="20"/>
          <w:lang w:val="es-ES"/>
        </w:rPr>
      </w:pPr>
    </w:p>
    <w:p w14:paraId="40288381"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Parágrafo 3. Cuando la modificación de la licencia de funcionamiento sea por cambio de sede a una localidad diferente, el director local de educación que expidió la licencia de funcionamiento inicial deberá remitir la totalidad del expediente administrativo al director de la localidad donde se proyecta el funcionamiento de la nueva sede y el equipo local de inspección y vigilancia de esta emitirá el concepto técnico pedagógico que soportará el acto administrativo de modificación de la licencia.</w:t>
      </w:r>
    </w:p>
    <w:p w14:paraId="6D49B285" w14:textId="77777777" w:rsidR="00B43C29" w:rsidRPr="00B43C29" w:rsidRDefault="00B43C29" w:rsidP="00B43C29">
      <w:pPr>
        <w:tabs>
          <w:tab w:val="left" w:pos="6810"/>
        </w:tabs>
        <w:jc w:val="both"/>
        <w:rPr>
          <w:rFonts w:ascii="Tahoma" w:hAnsi="Tahoma" w:cs="Tahoma"/>
          <w:sz w:val="20"/>
          <w:szCs w:val="20"/>
          <w:lang w:val="es-ES"/>
        </w:rPr>
      </w:pPr>
    </w:p>
    <w:p w14:paraId="3F527D2C"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Parágrafo 4. En caso de que se modifiquen las condiciones de la planta física, de infraestructura y capacidad instalada bajo las cuales se autorizó la licencia de funcionamiento, el solicitante deberá adelantar el trámite para la verificación de la nueva planta física ante la Dirección Local de Educación de la localidad respectiva, aportando la documentación señalada en numeral 2.7 del artículo 2 del presente acto administrativo.</w:t>
      </w:r>
    </w:p>
    <w:p w14:paraId="5A98C757"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 xml:space="preserve"> </w:t>
      </w:r>
    </w:p>
    <w:p w14:paraId="322443F3"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 xml:space="preserve">Parágrafo 5. En una misma solicitud se podrá requerir la modificación de la licencia de funcionamiento por una o varias de las causales antes mencionadas. </w:t>
      </w:r>
    </w:p>
    <w:p w14:paraId="344F97F8" w14:textId="77777777" w:rsidR="00B43C29" w:rsidRPr="00B43C29" w:rsidRDefault="00B43C29" w:rsidP="00B43C29">
      <w:pPr>
        <w:tabs>
          <w:tab w:val="left" w:pos="6810"/>
        </w:tabs>
        <w:jc w:val="both"/>
        <w:rPr>
          <w:rFonts w:ascii="Tahoma" w:hAnsi="Tahoma" w:cs="Tahoma"/>
          <w:sz w:val="20"/>
          <w:szCs w:val="20"/>
          <w:lang w:val="es-ES"/>
        </w:rPr>
      </w:pPr>
    </w:p>
    <w:p w14:paraId="6C85E500" w14:textId="77777777" w:rsidR="00B43C29" w:rsidRPr="00B43C29" w:rsidRDefault="00B43C29" w:rsidP="00B43C29">
      <w:pPr>
        <w:tabs>
          <w:tab w:val="left" w:pos="6810"/>
        </w:tabs>
        <w:jc w:val="both"/>
        <w:rPr>
          <w:rFonts w:ascii="Tahoma" w:hAnsi="Tahoma" w:cs="Tahoma"/>
          <w:sz w:val="20"/>
          <w:szCs w:val="20"/>
          <w:lang w:val="es-ES"/>
        </w:rPr>
      </w:pPr>
    </w:p>
    <w:p w14:paraId="67AF1E05" w14:textId="77777777" w:rsidR="00B43C29" w:rsidRPr="00B43C29" w:rsidRDefault="00B43C29" w:rsidP="005C56BE">
      <w:pPr>
        <w:tabs>
          <w:tab w:val="left" w:pos="6810"/>
        </w:tabs>
        <w:jc w:val="center"/>
        <w:rPr>
          <w:rFonts w:ascii="Tahoma" w:hAnsi="Tahoma" w:cs="Tahoma"/>
          <w:sz w:val="20"/>
          <w:szCs w:val="20"/>
          <w:lang w:val="es-ES"/>
        </w:rPr>
      </w:pPr>
      <w:r w:rsidRPr="00B43C29">
        <w:rPr>
          <w:rFonts w:ascii="Tahoma" w:hAnsi="Tahoma" w:cs="Tahoma"/>
          <w:sz w:val="20"/>
          <w:szCs w:val="20"/>
          <w:lang w:val="es-ES"/>
        </w:rPr>
        <w:t>TÍTULO III</w:t>
      </w:r>
    </w:p>
    <w:p w14:paraId="441F8ABF" w14:textId="77777777" w:rsidR="00B43C29" w:rsidRPr="00B43C29" w:rsidRDefault="00B43C29" w:rsidP="005C56BE">
      <w:pPr>
        <w:tabs>
          <w:tab w:val="left" w:pos="6810"/>
        </w:tabs>
        <w:jc w:val="center"/>
        <w:rPr>
          <w:rFonts w:ascii="Tahoma" w:hAnsi="Tahoma" w:cs="Tahoma"/>
          <w:sz w:val="20"/>
          <w:szCs w:val="20"/>
          <w:lang w:val="es-ES"/>
        </w:rPr>
      </w:pPr>
      <w:r w:rsidRPr="00B43C29">
        <w:rPr>
          <w:rFonts w:ascii="Tahoma" w:hAnsi="Tahoma" w:cs="Tahoma"/>
          <w:sz w:val="20"/>
          <w:szCs w:val="20"/>
          <w:lang w:val="es-ES"/>
        </w:rPr>
        <w:t>Disposiciones generales</w:t>
      </w:r>
    </w:p>
    <w:p w14:paraId="091A8E91"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 xml:space="preserve"> </w:t>
      </w:r>
    </w:p>
    <w:p w14:paraId="5ADC0799"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Artículo 6°. -  Expedición de acto administrativo que concede, modifica o niega la solicitud de licencia de funcionamiento. Una vez revisada la totalidad de los requisitos contemplados en el presente acto administrativo, la Dirección Local de Educación que corresponda, decidirá mediante acto administrativo motivado si concede, modifica o niega la licencia de funcionamiento, conforme con la normatividad vigente y a las condiciones establecidas en los procesos y procedimientos definidos en el sistema de gestión de calidad de la SED.</w:t>
      </w:r>
    </w:p>
    <w:p w14:paraId="461C57E4" w14:textId="77777777" w:rsidR="00B43C29" w:rsidRPr="00B43C29" w:rsidRDefault="00B43C29" w:rsidP="00B43C29">
      <w:pPr>
        <w:tabs>
          <w:tab w:val="left" w:pos="6810"/>
        </w:tabs>
        <w:jc w:val="both"/>
        <w:rPr>
          <w:rFonts w:ascii="Tahoma" w:hAnsi="Tahoma" w:cs="Tahoma"/>
          <w:sz w:val="20"/>
          <w:szCs w:val="20"/>
          <w:lang w:val="es-ES"/>
        </w:rPr>
      </w:pPr>
    </w:p>
    <w:p w14:paraId="4864A177"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lastRenderedPageBreak/>
        <w:t>Parágrafo. Contra el acto que modifica o niega la modificación de la licencia de funcionamiento proceden los recursos de reposición y apelación de conformidad a lo señalado en el artículo 74 de la Ley 1437 de 2011.</w:t>
      </w:r>
    </w:p>
    <w:p w14:paraId="579331B0" w14:textId="77777777" w:rsidR="00B43C29" w:rsidRPr="00B43C29" w:rsidRDefault="00B43C29" w:rsidP="00B43C29">
      <w:pPr>
        <w:tabs>
          <w:tab w:val="left" w:pos="6810"/>
        </w:tabs>
        <w:jc w:val="both"/>
        <w:rPr>
          <w:rFonts w:ascii="Tahoma" w:hAnsi="Tahoma" w:cs="Tahoma"/>
          <w:sz w:val="20"/>
          <w:szCs w:val="20"/>
          <w:lang w:val="es-ES"/>
        </w:rPr>
      </w:pPr>
    </w:p>
    <w:p w14:paraId="44E61683"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Artículo 7°. - Documentación incompleta. En caso de que la documentación suministrada por la IETDH se encuentre incompleta, la Dirección Local de Educación correspondiente, requerirá a la institución para que la complete en el término máximo de un (1) mes, salvo que antes del vencer el plazo inicialmente concedido solicite prórroga (la cual será otorgada hasta por el mismo término), de conformidad a lo señalado en el artículo 17 de la Ley 1437 de 2011.</w:t>
      </w:r>
    </w:p>
    <w:p w14:paraId="49FA76CE" w14:textId="77777777" w:rsidR="00B43C29" w:rsidRPr="00B43C29" w:rsidRDefault="00B43C29" w:rsidP="00B43C29">
      <w:pPr>
        <w:tabs>
          <w:tab w:val="left" w:pos="6810"/>
        </w:tabs>
        <w:jc w:val="both"/>
        <w:rPr>
          <w:rFonts w:ascii="Tahoma" w:hAnsi="Tahoma" w:cs="Tahoma"/>
          <w:sz w:val="20"/>
          <w:szCs w:val="20"/>
          <w:lang w:val="es-ES"/>
        </w:rPr>
      </w:pPr>
    </w:p>
    <w:p w14:paraId="28ACA729"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Artículo 8°. - Archivo de solicitud. La Dirección Local de Educación correspondiente decretará el desistimiento y el archivo del expediente, cuando vencido el término señalado en el artículo anterior, el peticionario no haya dado respuesta a la solicitud de documentación incompleta.  Dicho desistimiento deberá realizarse mediante acto administrativo motivado que se notificará personalmente, contra el cual únicamente procede recurso de reposición, sin perjuicio de que la respectiva solicitud pueda ser nuevamente presentada con el lleno de los requisitos legales.</w:t>
      </w:r>
    </w:p>
    <w:p w14:paraId="0295A012"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 xml:space="preserve"> </w:t>
      </w:r>
    </w:p>
    <w:p w14:paraId="412A93A7"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Artículo 9°. - Reporte en el Sistema de Información de Educación para el Trabajo y el Desarrollo Humano-SIET. Una vez expedidos los actos administrativos por los cuales se otorga o modifica la licencia de funcionamiento de una IETDH, la Dirección Local de Educación correspondiente procederá dentro de los cinco (5) días hábiles siguientes de la ejecutoria del acto administrativo a reportar la novedad en el Sistema de Información de la Educación para el Trabajo y el Desarrollo Humano- SIET.</w:t>
      </w:r>
    </w:p>
    <w:p w14:paraId="196F4198" w14:textId="77777777" w:rsidR="00B43C29" w:rsidRPr="00B43C29" w:rsidRDefault="00B43C29" w:rsidP="00B43C29">
      <w:pPr>
        <w:tabs>
          <w:tab w:val="left" w:pos="6810"/>
        </w:tabs>
        <w:jc w:val="both"/>
        <w:rPr>
          <w:rFonts w:ascii="Tahoma" w:hAnsi="Tahoma" w:cs="Tahoma"/>
          <w:sz w:val="20"/>
          <w:szCs w:val="20"/>
          <w:lang w:val="es-ES"/>
        </w:rPr>
      </w:pPr>
    </w:p>
    <w:p w14:paraId="5C34191E"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Artículo 10º. – Cierre de instituciones. Cuando el representante legal o propietario de la institución privada de ETDH decida el cierre definitivo de la institución, deberá comunicarlo a la DILE que le otorgó la licencia de funcionamiento, indicando la fecha prevista para el cierre y los mecanismos que adoptará para garantizar la culminación de los programas que vienen cursando las personas matriculadas y pondrá a su disposición los archivos académicos correspondientes para todos los efectos a que haya lugar, de conformidad con el artículo 2.6.4.18. del Decreto 1075 de 2015.</w:t>
      </w:r>
    </w:p>
    <w:p w14:paraId="55B476E1" w14:textId="77777777" w:rsidR="00B43C29" w:rsidRPr="00B43C29" w:rsidRDefault="00B43C29" w:rsidP="00B43C29">
      <w:pPr>
        <w:tabs>
          <w:tab w:val="left" w:pos="6810"/>
        </w:tabs>
        <w:jc w:val="both"/>
        <w:rPr>
          <w:rFonts w:ascii="Tahoma" w:hAnsi="Tahoma" w:cs="Tahoma"/>
          <w:sz w:val="20"/>
          <w:szCs w:val="20"/>
          <w:lang w:val="es-ES"/>
        </w:rPr>
      </w:pPr>
    </w:p>
    <w:p w14:paraId="07416D8F"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La DILE recibirá los archivos, expedirá el acto administrativo que ordena el cierre de la institución y en él señalará el lugar donde reposaran los archivos de la IETDH cerrada.</w:t>
      </w:r>
    </w:p>
    <w:p w14:paraId="7414B5ED" w14:textId="77777777" w:rsidR="00B43C29" w:rsidRPr="00B43C29" w:rsidRDefault="00B43C29" w:rsidP="00B43C29">
      <w:pPr>
        <w:tabs>
          <w:tab w:val="left" w:pos="6810"/>
        </w:tabs>
        <w:jc w:val="both"/>
        <w:rPr>
          <w:rFonts w:ascii="Tahoma" w:hAnsi="Tahoma" w:cs="Tahoma"/>
          <w:sz w:val="20"/>
          <w:szCs w:val="20"/>
          <w:lang w:val="es-ES"/>
        </w:rPr>
      </w:pPr>
    </w:p>
    <w:p w14:paraId="59944107"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Artículo 11º. – Cancelación de la licencia de funcionamiento. Si transcurridos dos (2) años contados a partir de la expedición de la licencia de funcionamiento, la institución no hubiere iniciado actividades académicas se procederá a su cancelación, en cumplimiento del parágrafo del artículo 2.6.3.4. del Decreto 1075 de 2015.</w:t>
      </w:r>
    </w:p>
    <w:p w14:paraId="278F942B" w14:textId="77777777" w:rsidR="00B43C29" w:rsidRPr="00B43C29" w:rsidRDefault="00B43C29" w:rsidP="00B43C29">
      <w:pPr>
        <w:tabs>
          <w:tab w:val="left" w:pos="6810"/>
        </w:tabs>
        <w:jc w:val="both"/>
        <w:rPr>
          <w:rFonts w:ascii="Tahoma" w:hAnsi="Tahoma" w:cs="Tahoma"/>
          <w:sz w:val="20"/>
          <w:szCs w:val="20"/>
          <w:lang w:val="es-ES"/>
        </w:rPr>
      </w:pPr>
    </w:p>
    <w:p w14:paraId="4A33FB4E" w14:textId="77777777" w:rsidR="00B43C29" w:rsidRPr="00B43C29" w:rsidRDefault="00B43C29"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 xml:space="preserve">Artículo 12º. - </w:t>
      </w:r>
      <w:r w:rsidRPr="005C56BE">
        <w:rPr>
          <w:rFonts w:ascii="Tahoma" w:hAnsi="Tahoma" w:cs="Tahoma"/>
          <w:b/>
          <w:bCs/>
          <w:sz w:val="20"/>
          <w:szCs w:val="20"/>
          <w:lang w:val="es-ES"/>
        </w:rPr>
        <w:t>Artículo transitorio</w:t>
      </w:r>
      <w:r w:rsidRPr="00B43C29">
        <w:rPr>
          <w:rFonts w:ascii="Tahoma" w:hAnsi="Tahoma" w:cs="Tahoma"/>
          <w:sz w:val="20"/>
          <w:szCs w:val="20"/>
          <w:lang w:val="es-ES"/>
        </w:rPr>
        <w:t>. Se concede un plazo de seis (6) meses a partir de la publicación de este acto administrativo a las IETDH que actualmente cuenten con más de una (1) licencia de funcionamiento en Bogotá, para que soliciten ante la Dirección Local de Educación que consideren su sede principal, la unificación de sus licencias señalando la sede principal y la(s) sede(s) accesoria(s).</w:t>
      </w:r>
    </w:p>
    <w:p w14:paraId="473CB654" w14:textId="77777777" w:rsidR="00B43C29" w:rsidRPr="00B43C29" w:rsidRDefault="00B43C29" w:rsidP="00B43C29">
      <w:pPr>
        <w:tabs>
          <w:tab w:val="left" w:pos="6810"/>
        </w:tabs>
        <w:jc w:val="both"/>
        <w:rPr>
          <w:rFonts w:ascii="Tahoma" w:hAnsi="Tahoma" w:cs="Tahoma"/>
          <w:sz w:val="20"/>
          <w:szCs w:val="20"/>
          <w:lang w:val="es-ES"/>
        </w:rPr>
      </w:pPr>
    </w:p>
    <w:p w14:paraId="0F53999C" w14:textId="090A2BD0" w:rsidR="005D52DB" w:rsidRPr="005C56BE" w:rsidRDefault="00B43C29" w:rsidP="00B43C29">
      <w:pPr>
        <w:tabs>
          <w:tab w:val="left" w:pos="6810"/>
        </w:tabs>
        <w:jc w:val="both"/>
        <w:rPr>
          <w:rFonts w:ascii="Tahoma" w:hAnsi="Tahoma" w:cs="Tahoma"/>
          <w:b/>
          <w:bCs/>
          <w:sz w:val="20"/>
          <w:szCs w:val="20"/>
          <w:lang w:val="es-ES"/>
        </w:rPr>
      </w:pPr>
      <w:r w:rsidRPr="00B43C29">
        <w:rPr>
          <w:rFonts w:ascii="Tahoma" w:hAnsi="Tahoma" w:cs="Tahoma"/>
          <w:sz w:val="20"/>
          <w:szCs w:val="20"/>
          <w:lang w:val="es-ES"/>
        </w:rPr>
        <w:t xml:space="preserve">Artículo 13º. </w:t>
      </w:r>
      <w:r w:rsidR="005D52DB">
        <w:rPr>
          <w:rFonts w:ascii="Tahoma" w:hAnsi="Tahoma" w:cs="Tahoma"/>
          <w:sz w:val="20"/>
          <w:szCs w:val="20"/>
          <w:lang w:val="es-ES"/>
        </w:rPr>
        <w:t>–</w:t>
      </w:r>
      <w:r w:rsidR="005D52DB" w:rsidRPr="005D52DB">
        <w:rPr>
          <w:rFonts w:ascii="Tahoma" w:hAnsi="Tahoma" w:cs="Tahoma"/>
          <w:b/>
          <w:bCs/>
          <w:sz w:val="20"/>
          <w:szCs w:val="20"/>
        </w:rPr>
        <w:t xml:space="preserve"> </w:t>
      </w:r>
      <w:r w:rsidR="005D52DB">
        <w:rPr>
          <w:rFonts w:ascii="Tahoma" w:hAnsi="Tahoma" w:cs="Tahoma"/>
          <w:b/>
          <w:bCs/>
          <w:sz w:val="20"/>
          <w:szCs w:val="20"/>
        </w:rPr>
        <w:t xml:space="preserve">GESTIONAR </w:t>
      </w:r>
      <w:r w:rsidR="005D52DB" w:rsidRPr="005C56BE">
        <w:rPr>
          <w:rFonts w:ascii="Tahoma" w:hAnsi="Tahoma" w:cs="Tahoma"/>
          <w:sz w:val="20"/>
          <w:szCs w:val="20"/>
        </w:rPr>
        <w:t>a</w:t>
      </w:r>
      <w:r w:rsidR="005D52DB" w:rsidRPr="005D52DB">
        <w:rPr>
          <w:rFonts w:ascii="Tahoma" w:hAnsi="Tahoma" w:cs="Tahoma"/>
          <w:sz w:val="20"/>
          <w:szCs w:val="20"/>
        </w:rPr>
        <w:t xml:space="preserve"> través de la </w:t>
      </w:r>
      <w:r w:rsidR="005D52DB">
        <w:rPr>
          <w:rFonts w:ascii="Tahoma" w:hAnsi="Tahoma" w:cs="Tahoma"/>
          <w:sz w:val="20"/>
          <w:szCs w:val="20"/>
        </w:rPr>
        <w:t xml:space="preserve">Dirección de Inspección y Vigilancia </w:t>
      </w:r>
      <w:r w:rsidR="005D52DB" w:rsidRPr="005D52DB">
        <w:rPr>
          <w:rFonts w:ascii="Tahoma" w:hAnsi="Tahoma" w:cs="Tahoma"/>
          <w:sz w:val="20"/>
          <w:szCs w:val="20"/>
        </w:rPr>
        <w:t>con la Oficina Asesora de Comunicación y Prensa</w:t>
      </w:r>
      <w:r w:rsidR="005D52DB">
        <w:rPr>
          <w:rFonts w:ascii="Tahoma" w:hAnsi="Tahoma" w:cs="Tahoma"/>
          <w:sz w:val="20"/>
          <w:szCs w:val="20"/>
        </w:rPr>
        <w:t xml:space="preserve">, la </w:t>
      </w:r>
      <w:r w:rsidR="005D52DB" w:rsidRPr="005D52DB">
        <w:rPr>
          <w:rFonts w:ascii="Tahoma" w:hAnsi="Tahoma" w:cs="Tahoma"/>
          <w:b/>
          <w:bCs/>
          <w:sz w:val="20"/>
          <w:szCs w:val="20"/>
        </w:rPr>
        <w:t>PUBLICACIÓN</w:t>
      </w:r>
      <w:r w:rsidR="005D52DB" w:rsidRPr="005D52DB">
        <w:rPr>
          <w:rFonts w:ascii="Tahoma" w:hAnsi="Tahoma" w:cs="Tahoma"/>
          <w:sz w:val="20"/>
          <w:szCs w:val="20"/>
        </w:rPr>
        <w:t xml:space="preserve"> </w:t>
      </w:r>
      <w:r w:rsidR="005D52DB">
        <w:rPr>
          <w:rFonts w:ascii="Tahoma" w:hAnsi="Tahoma" w:cs="Tahoma"/>
          <w:sz w:val="20"/>
          <w:szCs w:val="20"/>
        </w:rPr>
        <w:t xml:space="preserve">del presente acto administrativo </w:t>
      </w:r>
      <w:r w:rsidR="005D52DB" w:rsidRPr="005D52DB">
        <w:rPr>
          <w:rFonts w:ascii="Tahoma" w:hAnsi="Tahoma" w:cs="Tahoma"/>
          <w:sz w:val="20"/>
          <w:szCs w:val="20"/>
        </w:rPr>
        <w:t>en el portal web de la Secretaría de Educación del Distrito y en el Registro Distrital.</w:t>
      </w:r>
    </w:p>
    <w:p w14:paraId="3AACC174" w14:textId="77777777" w:rsidR="005D52DB" w:rsidRDefault="005D52DB" w:rsidP="00B43C29">
      <w:pPr>
        <w:tabs>
          <w:tab w:val="left" w:pos="6810"/>
        </w:tabs>
        <w:jc w:val="both"/>
        <w:rPr>
          <w:rFonts w:ascii="Tahoma" w:hAnsi="Tahoma" w:cs="Tahoma"/>
          <w:sz w:val="20"/>
          <w:szCs w:val="20"/>
          <w:lang w:val="es-ES"/>
        </w:rPr>
      </w:pPr>
    </w:p>
    <w:p w14:paraId="7F2B89EE" w14:textId="663F932A" w:rsidR="00B43C29" w:rsidRPr="00B43C29" w:rsidRDefault="005D52DB" w:rsidP="00B43C29">
      <w:pPr>
        <w:tabs>
          <w:tab w:val="left" w:pos="6810"/>
        </w:tabs>
        <w:jc w:val="both"/>
        <w:rPr>
          <w:rFonts w:ascii="Tahoma" w:hAnsi="Tahoma" w:cs="Tahoma"/>
          <w:sz w:val="20"/>
          <w:szCs w:val="20"/>
          <w:lang w:val="es-ES"/>
        </w:rPr>
      </w:pPr>
      <w:r w:rsidRPr="00B43C29">
        <w:rPr>
          <w:rFonts w:ascii="Tahoma" w:hAnsi="Tahoma" w:cs="Tahoma"/>
          <w:sz w:val="20"/>
          <w:szCs w:val="20"/>
          <w:lang w:val="es-ES"/>
        </w:rPr>
        <w:t>Artículo 1</w:t>
      </w:r>
      <w:r>
        <w:rPr>
          <w:rFonts w:ascii="Tahoma" w:hAnsi="Tahoma" w:cs="Tahoma"/>
          <w:sz w:val="20"/>
          <w:szCs w:val="20"/>
          <w:lang w:val="es-ES"/>
        </w:rPr>
        <w:t xml:space="preserve">4º. </w:t>
      </w:r>
      <w:r w:rsidR="00B43C29" w:rsidRPr="00B43C29">
        <w:rPr>
          <w:rFonts w:ascii="Tahoma" w:hAnsi="Tahoma" w:cs="Tahoma"/>
          <w:sz w:val="20"/>
          <w:szCs w:val="20"/>
          <w:lang w:val="es-ES"/>
        </w:rPr>
        <w:t>Vigencia. La presente resolución rige a partir de su publicación.</w:t>
      </w:r>
    </w:p>
    <w:p w14:paraId="4457725C" w14:textId="77777777" w:rsidR="00B43C29" w:rsidRPr="00B43C29" w:rsidRDefault="00B43C29" w:rsidP="00B43C29">
      <w:pPr>
        <w:tabs>
          <w:tab w:val="left" w:pos="6810"/>
        </w:tabs>
        <w:jc w:val="both"/>
        <w:rPr>
          <w:rFonts w:ascii="Tahoma" w:hAnsi="Tahoma" w:cs="Tahoma"/>
          <w:sz w:val="20"/>
          <w:szCs w:val="20"/>
          <w:lang w:val="es-ES"/>
        </w:rPr>
      </w:pPr>
    </w:p>
    <w:p w14:paraId="69CB19D9" w14:textId="77777777" w:rsidR="00B43C29" w:rsidRPr="00B43C29" w:rsidRDefault="00B43C29" w:rsidP="00B43C29">
      <w:pPr>
        <w:tabs>
          <w:tab w:val="left" w:pos="6810"/>
        </w:tabs>
        <w:jc w:val="both"/>
        <w:rPr>
          <w:rFonts w:ascii="Tahoma" w:hAnsi="Tahoma" w:cs="Tahoma"/>
          <w:sz w:val="20"/>
          <w:szCs w:val="20"/>
          <w:lang w:val="es-ES"/>
        </w:rPr>
      </w:pPr>
    </w:p>
    <w:p w14:paraId="2FAB7F49" w14:textId="77777777" w:rsidR="00B43C29" w:rsidRPr="005C56BE" w:rsidRDefault="00B43C29" w:rsidP="005C56BE">
      <w:pPr>
        <w:tabs>
          <w:tab w:val="left" w:pos="6810"/>
        </w:tabs>
        <w:jc w:val="center"/>
        <w:rPr>
          <w:rFonts w:ascii="Tahoma" w:hAnsi="Tahoma" w:cs="Tahoma"/>
          <w:b/>
          <w:bCs/>
          <w:sz w:val="20"/>
          <w:szCs w:val="20"/>
          <w:lang w:val="es-ES"/>
        </w:rPr>
      </w:pPr>
      <w:r w:rsidRPr="005C56BE">
        <w:rPr>
          <w:rFonts w:ascii="Tahoma" w:hAnsi="Tahoma" w:cs="Tahoma"/>
          <w:b/>
          <w:bCs/>
          <w:sz w:val="20"/>
          <w:szCs w:val="20"/>
          <w:lang w:val="es-ES"/>
        </w:rPr>
        <w:t>PUBLÍQUESE Y CÚMPLASE</w:t>
      </w:r>
    </w:p>
    <w:p w14:paraId="613EEB1C" w14:textId="77777777" w:rsidR="00B43C29" w:rsidRPr="00B43C29" w:rsidRDefault="00B43C29" w:rsidP="00B43C29">
      <w:pPr>
        <w:tabs>
          <w:tab w:val="left" w:pos="6810"/>
        </w:tabs>
        <w:jc w:val="both"/>
        <w:rPr>
          <w:rFonts w:ascii="Tahoma" w:hAnsi="Tahoma" w:cs="Tahoma"/>
          <w:sz w:val="20"/>
          <w:szCs w:val="20"/>
          <w:lang w:val="es-ES"/>
        </w:rPr>
      </w:pPr>
    </w:p>
    <w:p w14:paraId="45CE77F9" w14:textId="77777777" w:rsidR="00B43C29" w:rsidRPr="00B43C29" w:rsidRDefault="00B43C29" w:rsidP="00B43C29">
      <w:pPr>
        <w:tabs>
          <w:tab w:val="left" w:pos="6810"/>
        </w:tabs>
        <w:jc w:val="both"/>
        <w:rPr>
          <w:rFonts w:ascii="Tahoma" w:hAnsi="Tahoma" w:cs="Tahoma"/>
          <w:sz w:val="20"/>
          <w:szCs w:val="20"/>
          <w:lang w:val="es-ES"/>
        </w:rPr>
      </w:pPr>
    </w:p>
    <w:p w14:paraId="51D1E41D" w14:textId="44E67AEF" w:rsidR="006F680F" w:rsidRPr="00DC71CF" w:rsidRDefault="00BE6CAD" w:rsidP="00191C9B">
      <w:pPr>
        <w:jc w:val="center"/>
        <w:rPr>
          <w:rFonts w:ascii="Tahoma" w:hAnsi="Tahoma" w:cs="Tahoma"/>
          <w:b/>
          <w:bCs/>
          <w:sz w:val="20"/>
          <w:szCs w:val="20"/>
        </w:rPr>
      </w:pPr>
      <w:r>
        <w:rPr>
          <w:rFonts w:ascii="Tahoma" w:hAnsi="Tahoma" w:cs="Tahoma"/>
          <w:b/>
          <w:bCs/>
          <w:sz w:val="20"/>
          <w:szCs w:val="20"/>
        </w:rPr>
        <w:t>ISABEL SEGOVIA OSPINA</w:t>
      </w:r>
    </w:p>
    <w:p w14:paraId="7C29132F" w14:textId="4CC3CBFD" w:rsidR="006F680F" w:rsidRPr="00DC71CF" w:rsidRDefault="006F680F" w:rsidP="00191C9B">
      <w:pPr>
        <w:jc w:val="center"/>
        <w:rPr>
          <w:rFonts w:ascii="Tahoma" w:hAnsi="Tahoma" w:cs="Tahoma"/>
          <w:sz w:val="20"/>
          <w:szCs w:val="20"/>
        </w:rPr>
      </w:pPr>
      <w:r w:rsidRPr="00DC71CF">
        <w:rPr>
          <w:rFonts w:ascii="Tahoma" w:hAnsi="Tahoma" w:cs="Tahoma"/>
          <w:sz w:val="20"/>
          <w:szCs w:val="20"/>
        </w:rPr>
        <w:t>Secretari</w:t>
      </w:r>
      <w:r w:rsidR="00BE6CAD">
        <w:rPr>
          <w:rFonts w:ascii="Tahoma" w:hAnsi="Tahoma" w:cs="Tahoma"/>
          <w:sz w:val="20"/>
          <w:szCs w:val="20"/>
        </w:rPr>
        <w:t>a</w:t>
      </w:r>
      <w:r w:rsidRPr="00DC71CF">
        <w:rPr>
          <w:rFonts w:ascii="Tahoma" w:hAnsi="Tahoma" w:cs="Tahoma"/>
          <w:sz w:val="20"/>
          <w:szCs w:val="20"/>
        </w:rPr>
        <w:t xml:space="preserve"> de Educación del Distrito</w:t>
      </w:r>
      <w:r w:rsidR="00BE6CAD">
        <w:rPr>
          <w:rFonts w:ascii="Tahoma" w:hAnsi="Tahoma" w:cs="Tahoma"/>
          <w:sz w:val="20"/>
          <w:szCs w:val="20"/>
        </w:rPr>
        <w:t xml:space="preserve"> </w:t>
      </w:r>
    </w:p>
    <w:p w14:paraId="4ED1EC6E" w14:textId="77777777" w:rsidR="006F680F" w:rsidRPr="00DC71CF" w:rsidRDefault="006F680F" w:rsidP="00191C9B">
      <w:pPr>
        <w:jc w:val="center"/>
        <w:rPr>
          <w:rFonts w:ascii="Tahoma" w:hAnsi="Tahoma" w:cs="Tahoma"/>
          <w:bCs/>
          <w:sz w:val="14"/>
          <w:szCs w:val="14"/>
        </w:rPr>
      </w:pPr>
    </w:p>
    <w:p w14:paraId="666829A0" w14:textId="77777777" w:rsidR="006F680F" w:rsidRPr="00DC71CF" w:rsidRDefault="006F680F" w:rsidP="00191C9B">
      <w:pPr>
        <w:rPr>
          <w:rFonts w:ascii="Tahoma" w:hAnsi="Tahoma" w:cs="Tahoma"/>
          <w:bCs/>
          <w:sz w:val="14"/>
          <w:szCs w:val="14"/>
        </w:rPr>
      </w:pPr>
      <w:r w:rsidRPr="00DC71CF">
        <w:rPr>
          <w:rFonts w:ascii="Tahoma" w:hAnsi="Tahoma" w:cs="Tahoma"/>
          <w:bCs/>
          <w:sz w:val="14"/>
          <w:szCs w:val="14"/>
        </w:rPr>
        <w:t>Gestión electrónica del documento:</w:t>
      </w:r>
    </w:p>
    <w:tbl>
      <w:tblPr>
        <w:tblpPr w:leftFromText="141" w:rightFromText="141" w:vertAnchor="text" w:horzAnchor="margin" w:tblpXSpec="center" w:tblpY="77"/>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69"/>
        <w:gridCol w:w="5378"/>
        <w:gridCol w:w="1465"/>
      </w:tblGrid>
      <w:tr w:rsidR="006F680F" w:rsidRPr="00DC71CF" w14:paraId="2E5FD967" w14:textId="77777777" w:rsidTr="005C56BE">
        <w:trPr>
          <w:cantSplit/>
          <w:trHeight w:val="113"/>
        </w:trPr>
        <w:tc>
          <w:tcPr>
            <w:tcW w:w="1548"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4511CE05" w14:textId="77777777" w:rsidR="006F680F" w:rsidRPr="005D52DB" w:rsidRDefault="006F680F" w:rsidP="00CF38DC">
            <w:pPr>
              <w:jc w:val="center"/>
              <w:rPr>
                <w:rFonts w:ascii="Tahoma" w:hAnsi="Tahoma" w:cs="Tahoma"/>
                <w:b/>
                <w:color w:val="000000" w:themeColor="text1"/>
                <w:sz w:val="12"/>
                <w:szCs w:val="12"/>
              </w:rPr>
            </w:pPr>
            <w:r w:rsidRPr="005D52DB">
              <w:rPr>
                <w:rFonts w:ascii="Tahoma" w:hAnsi="Tahoma" w:cs="Tahoma"/>
                <w:b/>
                <w:color w:val="000000" w:themeColor="text1"/>
                <w:sz w:val="12"/>
                <w:szCs w:val="12"/>
              </w:rPr>
              <w:t>NOMBRE</w:t>
            </w:r>
          </w:p>
        </w:tc>
        <w:tc>
          <w:tcPr>
            <w:tcW w:w="2713"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7196910" w14:textId="77777777" w:rsidR="006F680F" w:rsidRPr="005D52DB" w:rsidRDefault="006F680F" w:rsidP="00CF38DC">
            <w:pPr>
              <w:jc w:val="center"/>
              <w:rPr>
                <w:rFonts w:ascii="Tahoma" w:hAnsi="Tahoma" w:cs="Tahoma"/>
                <w:b/>
                <w:color w:val="000000" w:themeColor="text1"/>
                <w:sz w:val="12"/>
                <w:szCs w:val="12"/>
              </w:rPr>
            </w:pPr>
            <w:r w:rsidRPr="005D52DB">
              <w:rPr>
                <w:rFonts w:ascii="Tahoma" w:hAnsi="Tahoma" w:cs="Tahoma"/>
                <w:b/>
                <w:color w:val="000000" w:themeColor="text1"/>
                <w:sz w:val="12"/>
                <w:szCs w:val="12"/>
              </w:rPr>
              <w:t>CARGO</w:t>
            </w:r>
          </w:p>
        </w:tc>
        <w:tc>
          <w:tcPr>
            <w:tcW w:w="73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4E05D16" w14:textId="77777777" w:rsidR="006F680F" w:rsidRPr="005D52DB" w:rsidRDefault="006F680F" w:rsidP="00CF38DC">
            <w:pPr>
              <w:jc w:val="center"/>
              <w:rPr>
                <w:rFonts w:ascii="Tahoma" w:hAnsi="Tahoma" w:cs="Tahoma"/>
                <w:b/>
                <w:color w:val="000000" w:themeColor="text1"/>
                <w:sz w:val="12"/>
                <w:szCs w:val="12"/>
              </w:rPr>
            </w:pPr>
            <w:r w:rsidRPr="005D52DB">
              <w:rPr>
                <w:rFonts w:ascii="Tahoma" w:hAnsi="Tahoma" w:cs="Tahoma"/>
                <w:b/>
                <w:color w:val="000000" w:themeColor="text1"/>
                <w:sz w:val="12"/>
                <w:szCs w:val="12"/>
              </w:rPr>
              <w:t>LABOR</w:t>
            </w:r>
          </w:p>
        </w:tc>
      </w:tr>
      <w:tr w:rsidR="006F680F" w:rsidRPr="00DC71CF" w14:paraId="6B2D620F" w14:textId="77777777" w:rsidTr="005C56BE">
        <w:trPr>
          <w:cantSplit/>
          <w:trHeight w:val="113"/>
        </w:trPr>
        <w:tc>
          <w:tcPr>
            <w:tcW w:w="1548" w:type="pct"/>
            <w:tcBorders>
              <w:top w:val="single" w:sz="4" w:space="0" w:color="auto"/>
              <w:left w:val="single" w:sz="4" w:space="0" w:color="auto"/>
              <w:bottom w:val="single" w:sz="4" w:space="0" w:color="auto"/>
              <w:right w:val="single" w:sz="4" w:space="0" w:color="auto"/>
            </w:tcBorders>
            <w:noWrap/>
            <w:vAlign w:val="center"/>
          </w:tcPr>
          <w:p w14:paraId="2E24180A" w14:textId="77777777" w:rsidR="006F680F" w:rsidRPr="005D52DB" w:rsidRDefault="006F680F" w:rsidP="00CF38DC">
            <w:pPr>
              <w:jc w:val="center"/>
              <w:rPr>
                <w:rFonts w:ascii="Tahoma" w:hAnsi="Tahoma" w:cs="Tahoma"/>
                <w:bCs/>
                <w:color w:val="000000" w:themeColor="text1"/>
                <w:sz w:val="12"/>
                <w:szCs w:val="12"/>
              </w:rPr>
            </w:pPr>
            <w:r w:rsidRPr="005D52DB">
              <w:rPr>
                <w:rFonts w:ascii="Tahoma" w:hAnsi="Tahoma" w:cs="Tahoma"/>
                <w:bCs/>
                <w:color w:val="000000" w:themeColor="text1"/>
                <w:sz w:val="12"/>
                <w:szCs w:val="12"/>
              </w:rPr>
              <w:t>Jose Emilio Lemus Mesa</w:t>
            </w:r>
          </w:p>
        </w:tc>
        <w:tc>
          <w:tcPr>
            <w:tcW w:w="2713" w:type="pct"/>
            <w:tcBorders>
              <w:top w:val="single" w:sz="4" w:space="0" w:color="auto"/>
              <w:left w:val="single" w:sz="4" w:space="0" w:color="auto"/>
              <w:bottom w:val="single" w:sz="4" w:space="0" w:color="auto"/>
              <w:right w:val="single" w:sz="4" w:space="0" w:color="auto"/>
            </w:tcBorders>
            <w:noWrap/>
            <w:vAlign w:val="center"/>
          </w:tcPr>
          <w:p w14:paraId="39BB0662" w14:textId="77777777" w:rsidR="006F680F" w:rsidRPr="005D52DB" w:rsidRDefault="006F680F" w:rsidP="00CF38DC">
            <w:pPr>
              <w:jc w:val="center"/>
              <w:rPr>
                <w:rFonts w:ascii="Tahoma" w:hAnsi="Tahoma" w:cs="Tahoma"/>
                <w:bCs/>
                <w:color w:val="000000" w:themeColor="text1"/>
                <w:sz w:val="12"/>
                <w:szCs w:val="12"/>
              </w:rPr>
            </w:pPr>
            <w:r w:rsidRPr="005D52DB">
              <w:rPr>
                <w:rFonts w:ascii="Tahoma" w:hAnsi="Tahoma" w:cs="Tahoma"/>
                <w:bCs/>
                <w:color w:val="000000" w:themeColor="text1"/>
                <w:sz w:val="12"/>
                <w:szCs w:val="12"/>
              </w:rPr>
              <w:t>Jefe Oficina Asesora Jurídica</w:t>
            </w:r>
          </w:p>
        </w:tc>
        <w:tc>
          <w:tcPr>
            <w:tcW w:w="739" w:type="pct"/>
            <w:tcBorders>
              <w:top w:val="single" w:sz="4" w:space="0" w:color="auto"/>
              <w:left w:val="single" w:sz="4" w:space="0" w:color="auto"/>
              <w:bottom w:val="single" w:sz="4" w:space="0" w:color="auto"/>
              <w:right w:val="single" w:sz="4" w:space="0" w:color="auto"/>
            </w:tcBorders>
            <w:noWrap/>
            <w:vAlign w:val="center"/>
          </w:tcPr>
          <w:p w14:paraId="56F0B3C5" w14:textId="77777777" w:rsidR="006F680F" w:rsidRPr="005D52DB" w:rsidRDefault="006F680F" w:rsidP="00CF38DC">
            <w:pPr>
              <w:jc w:val="center"/>
              <w:rPr>
                <w:rFonts w:ascii="Tahoma" w:hAnsi="Tahoma" w:cs="Tahoma"/>
                <w:bCs/>
                <w:color w:val="000000" w:themeColor="text1"/>
                <w:sz w:val="12"/>
                <w:szCs w:val="12"/>
              </w:rPr>
            </w:pPr>
            <w:r w:rsidRPr="005D52DB">
              <w:rPr>
                <w:rFonts w:ascii="Tahoma" w:hAnsi="Tahoma" w:cs="Tahoma"/>
                <w:bCs/>
                <w:color w:val="000000" w:themeColor="text1"/>
                <w:sz w:val="12"/>
                <w:szCs w:val="12"/>
              </w:rPr>
              <w:t>Revisó y Aprobó</w:t>
            </w:r>
          </w:p>
        </w:tc>
      </w:tr>
      <w:tr w:rsidR="00DF0B95" w:rsidRPr="00DC71CF" w14:paraId="186FA6FB" w14:textId="77777777" w:rsidTr="005C56BE">
        <w:trPr>
          <w:cantSplit/>
          <w:trHeight w:val="113"/>
        </w:trPr>
        <w:tc>
          <w:tcPr>
            <w:tcW w:w="1548" w:type="pct"/>
            <w:tcBorders>
              <w:top w:val="single" w:sz="4" w:space="0" w:color="auto"/>
              <w:left w:val="single" w:sz="4" w:space="0" w:color="auto"/>
              <w:bottom w:val="single" w:sz="4" w:space="0" w:color="auto"/>
              <w:right w:val="single" w:sz="4" w:space="0" w:color="auto"/>
            </w:tcBorders>
            <w:noWrap/>
            <w:vAlign w:val="center"/>
          </w:tcPr>
          <w:p w14:paraId="53DEAA01" w14:textId="46E8EB34" w:rsidR="00DF0B95" w:rsidRPr="005D52DB" w:rsidRDefault="00DF0B95" w:rsidP="00CF38DC">
            <w:pPr>
              <w:jc w:val="center"/>
              <w:rPr>
                <w:rFonts w:ascii="Tahoma" w:hAnsi="Tahoma" w:cs="Tahoma"/>
                <w:bCs/>
                <w:color w:val="000000" w:themeColor="text1"/>
                <w:sz w:val="12"/>
                <w:szCs w:val="12"/>
              </w:rPr>
            </w:pPr>
            <w:r w:rsidRPr="005D52DB">
              <w:rPr>
                <w:rFonts w:ascii="Tahoma" w:hAnsi="Tahoma" w:cs="Tahoma"/>
                <w:bCs/>
                <w:color w:val="000000" w:themeColor="text1"/>
                <w:sz w:val="12"/>
                <w:szCs w:val="12"/>
              </w:rPr>
              <w:t xml:space="preserve">Camilo Andrés Bustos Parra </w:t>
            </w:r>
          </w:p>
        </w:tc>
        <w:tc>
          <w:tcPr>
            <w:tcW w:w="2713" w:type="pct"/>
            <w:tcBorders>
              <w:top w:val="single" w:sz="4" w:space="0" w:color="auto"/>
              <w:left w:val="single" w:sz="4" w:space="0" w:color="auto"/>
              <w:bottom w:val="single" w:sz="4" w:space="0" w:color="auto"/>
              <w:right w:val="single" w:sz="4" w:space="0" w:color="auto"/>
            </w:tcBorders>
            <w:noWrap/>
            <w:vAlign w:val="center"/>
          </w:tcPr>
          <w:p w14:paraId="202CD742" w14:textId="701C1992" w:rsidR="00DF0B95" w:rsidRPr="005D52DB" w:rsidRDefault="00DF0B95" w:rsidP="00CF38DC">
            <w:pPr>
              <w:jc w:val="center"/>
              <w:rPr>
                <w:rFonts w:ascii="Tahoma" w:hAnsi="Tahoma" w:cs="Tahoma"/>
                <w:bCs/>
                <w:color w:val="000000" w:themeColor="text1"/>
                <w:sz w:val="12"/>
                <w:szCs w:val="12"/>
              </w:rPr>
            </w:pPr>
            <w:r w:rsidRPr="005D52DB">
              <w:rPr>
                <w:rFonts w:ascii="Tahoma" w:hAnsi="Tahoma" w:cs="Tahoma"/>
                <w:bCs/>
                <w:color w:val="000000" w:themeColor="text1"/>
                <w:sz w:val="12"/>
                <w:szCs w:val="12"/>
              </w:rPr>
              <w:t xml:space="preserve">Abogado Contratista Oficina Asesora Jurídica </w:t>
            </w:r>
          </w:p>
        </w:tc>
        <w:tc>
          <w:tcPr>
            <w:tcW w:w="739" w:type="pct"/>
            <w:tcBorders>
              <w:top w:val="single" w:sz="4" w:space="0" w:color="auto"/>
              <w:left w:val="single" w:sz="4" w:space="0" w:color="auto"/>
              <w:bottom w:val="single" w:sz="4" w:space="0" w:color="auto"/>
              <w:right w:val="single" w:sz="4" w:space="0" w:color="auto"/>
            </w:tcBorders>
            <w:noWrap/>
            <w:vAlign w:val="center"/>
          </w:tcPr>
          <w:p w14:paraId="734AD238" w14:textId="07EBB9BC" w:rsidR="00DF0B95" w:rsidRPr="005D52DB" w:rsidRDefault="00DF0B95" w:rsidP="00CF38DC">
            <w:pPr>
              <w:jc w:val="center"/>
              <w:rPr>
                <w:rFonts w:ascii="Tahoma" w:hAnsi="Tahoma" w:cs="Tahoma"/>
                <w:bCs/>
                <w:color w:val="000000" w:themeColor="text1"/>
                <w:sz w:val="12"/>
                <w:szCs w:val="12"/>
              </w:rPr>
            </w:pPr>
            <w:r w:rsidRPr="005D52DB">
              <w:rPr>
                <w:rFonts w:ascii="Tahoma" w:hAnsi="Tahoma" w:cs="Tahoma"/>
                <w:bCs/>
                <w:color w:val="000000" w:themeColor="text1"/>
                <w:sz w:val="12"/>
                <w:szCs w:val="12"/>
              </w:rPr>
              <w:t xml:space="preserve">Revisó </w:t>
            </w:r>
          </w:p>
        </w:tc>
      </w:tr>
      <w:tr w:rsidR="006F680F" w:rsidRPr="00DC71CF" w14:paraId="2527F65B" w14:textId="77777777" w:rsidTr="005C56BE">
        <w:trPr>
          <w:cantSplit/>
          <w:trHeight w:val="113"/>
        </w:trPr>
        <w:tc>
          <w:tcPr>
            <w:tcW w:w="1548" w:type="pct"/>
            <w:tcBorders>
              <w:top w:val="single" w:sz="4" w:space="0" w:color="auto"/>
              <w:left w:val="single" w:sz="4" w:space="0" w:color="auto"/>
              <w:bottom w:val="single" w:sz="4" w:space="0" w:color="auto"/>
              <w:right w:val="single" w:sz="4" w:space="0" w:color="auto"/>
            </w:tcBorders>
            <w:noWrap/>
            <w:vAlign w:val="center"/>
          </w:tcPr>
          <w:p w14:paraId="4717BCF4" w14:textId="0437C995" w:rsidR="006F680F" w:rsidRPr="005D52DB" w:rsidRDefault="00332550" w:rsidP="00CF38DC">
            <w:pPr>
              <w:jc w:val="center"/>
              <w:rPr>
                <w:rFonts w:ascii="Tahoma" w:hAnsi="Tahoma" w:cs="Tahoma"/>
                <w:bCs/>
                <w:color w:val="000000" w:themeColor="text1"/>
                <w:sz w:val="12"/>
                <w:szCs w:val="12"/>
              </w:rPr>
            </w:pPr>
            <w:r w:rsidRPr="005C56BE">
              <w:rPr>
                <w:rFonts w:ascii="Tahoma" w:hAnsi="Tahoma" w:cs="Tahoma"/>
                <w:color w:val="000000" w:themeColor="text1"/>
                <w:sz w:val="12"/>
                <w:szCs w:val="12"/>
                <w:lang w:val="es-ES"/>
              </w:rPr>
              <w:t>Diego Escallón Arango</w:t>
            </w:r>
          </w:p>
        </w:tc>
        <w:tc>
          <w:tcPr>
            <w:tcW w:w="2713" w:type="pct"/>
            <w:tcBorders>
              <w:top w:val="single" w:sz="4" w:space="0" w:color="auto"/>
              <w:left w:val="single" w:sz="4" w:space="0" w:color="auto"/>
              <w:bottom w:val="single" w:sz="4" w:space="0" w:color="auto"/>
              <w:right w:val="single" w:sz="4" w:space="0" w:color="auto"/>
            </w:tcBorders>
            <w:noWrap/>
            <w:vAlign w:val="center"/>
          </w:tcPr>
          <w:p w14:paraId="74B8BEDE" w14:textId="6B3CFC6B" w:rsidR="006F680F" w:rsidRPr="005C56BE" w:rsidRDefault="005D52DB" w:rsidP="00CF38DC">
            <w:pPr>
              <w:jc w:val="center"/>
              <w:rPr>
                <w:rFonts w:ascii="Tahoma" w:hAnsi="Tahoma" w:cs="Tahoma"/>
                <w:color w:val="000000" w:themeColor="text1"/>
                <w:sz w:val="12"/>
                <w:szCs w:val="12"/>
              </w:rPr>
            </w:pPr>
            <w:r w:rsidRPr="005C56BE">
              <w:rPr>
                <w:rFonts w:ascii="Tahoma" w:hAnsi="Tahoma" w:cs="Tahoma"/>
                <w:color w:val="000000" w:themeColor="text1"/>
                <w:sz w:val="12"/>
                <w:szCs w:val="12"/>
                <w:lang w:val="es-ES"/>
              </w:rPr>
              <w:t>Subsecretario de Integración Interinstitucional</w:t>
            </w:r>
          </w:p>
        </w:tc>
        <w:tc>
          <w:tcPr>
            <w:tcW w:w="739" w:type="pct"/>
            <w:tcBorders>
              <w:top w:val="single" w:sz="4" w:space="0" w:color="auto"/>
              <w:left w:val="single" w:sz="4" w:space="0" w:color="auto"/>
              <w:bottom w:val="single" w:sz="4" w:space="0" w:color="auto"/>
              <w:right w:val="single" w:sz="4" w:space="0" w:color="auto"/>
            </w:tcBorders>
            <w:noWrap/>
            <w:vAlign w:val="center"/>
          </w:tcPr>
          <w:p w14:paraId="6E7F4FDE" w14:textId="77777777" w:rsidR="006F680F" w:rsidRPr="005D52DB" w:rsidRDefault="006F680F" w:rsidP="00CF38DC">
            <w:pPr>
              <w:jc w:val="center"/>
              <w:rPr>
                <w:rFonts w:ascii="Tahoma" w:hAnsi="Tahoma" w:cs="Tahoma"/>
                <w:bCs/>
                <w:color w:val="000000" w:themeColor="text1"/>
                <w:sz w:val="12"/>
                <w:szCs w:val="12"/>
              </w:rPr>
            </w:pPr>
            <w:r w:rsidRPr="005D52DB">
              <w:rPr>
                <w:rFonts w:ascii="Tahoma" w:hAnsi="Tahoma" w:cs="Tahoma"/>
                <w:bCs/>
                <w:color w:val="000000" w:themeColor="text1"/>
                <w:sz w:val="12"/>
                <w:szCs w:val="12"/>
              </w:rPr>
              <w:t>Revisó y Aprobó</w:t>
            </w:r>
          </w:p>
        </w:tc>
      </w:tr>
      <w:tr w:rsidR="005D52DB" w:rsidRPr="00DC71CF" w14:paraId="2040461C" w14:textId="77777777" w:rsidTr="005C56BE">
        <w:trPr>
          <w:cantSplit/>
          <w:trHeight w:val="113"/>
        </w:trPr>
        <w:tc>
          <w:tcPr>
            <w:tcW w:w="1548" w:type="pct"/>
            <w:tcBorders>
              <w:top w:val="single" w:sz="4" w:space="0" w:color="auto"/>
              <w:left w:val="single" w:sz="4" w:space="0" w:color="auto"/>
              <w:bottom w:val="single" w:sz="4" w:space="0" w:color="auto"/>
              <w:right w:val="single" w:sz="4" w:space="0" w:color="auto"/>
            </w:tcBorders>
            <w:noWrap/>
            <w:vAlign w:val="center"/>
          </w:tcPr>
          <w:p w14:paraId="6F525829" w14:textId="00069760" w:rsidR="005D52DB" w:rsidRPr="005C56BE" w:rsidRDefault="005D52DB" w:rsidP="005D52DB">
            <w:pPr>
              <w:jc w:val="center"/>
              <w:rPr>
                <w:rFonts w:ascii="Tahoma" w:hAnsi="Tahoma" w:cs="Tahoma"/>
                <w:color w:val="000000" w:themeColor="text1"/>
                <w:sz w:val="12"/>
                <w:szCs w:val="12"/>
              </w:rPr>
            </w:pPr>
            <w:r w:rsidRPr="005C56BE">
              <w:rPr>
                <w:rFonts w:ascii="Tahoma" w:hAnsi="Tahoma" w:cs="Tahoma"/>
                <w:sz w:val="12"/>
                <w:szCs w:val="12"/>
                <w:lang w:val="es-ES"/>
              </w:rPr>
              <w:t>Abel Matiz Salazar</w:t>
            </w:r>
          </w:p>
        </w:tc>
        <w:tc>
          <w:tcPr>
            <w:tcW w:w="2713" w:type="pct"/>
            <w:tcBorders>
              <w:top w:val="single" w:sz="4" w:space="0" w:color="auto"/>
              <w:left w:val="single" w:sz="4" w:space="0" w:color="auto"/>
              <w:bottom w:val="single" w:sz="4" w:space="0" w:color="auto"/>
              <w:right w:val="single" w:sz="4" w:space="0" w:color="auto"/>
            </w:tcBorders>
            <w:noWrap/>
            <w:vAlign w:val="center"/>
          </w:tcPr>
          <w:p w14:paraId="450CFF20" w14:textId="17E9E464" w:rsidR="005D52DB" w:rsidRPr="005C56BE" w:rsidRDefault="005D52DB" w:rsidP="005D52DB">
            <w:pPr>
              <w:jc w:val="center"/>
              <w:rPr>
                <w:rFonts w:ascii="Tahoma" w:hAnsi="Tahoma" w:cs="Tahoma"/>
                <w:color w:val="000000" w:themeColor="text1"/>
                <w:sz w:val="12"/>
                <w:szCs w:val="12"/>
              </w:rPr>
            </w:pPr>
            <w:r w:rsidRPr="005C56BE">
              <w:rPr>
                <w:rFonts w:ascii="Tahoma" w:hAnsi="Tahoma" w:cs="Tahoma"/>
                <w:sz w:val="12"/>
                <w:szCs w:val="12"/>
                <w:lang w:val="es-ES"/>
              </w:rPr>
              <w:t>Subsecretario de Acceso y Permanencia</w:t>
            </w:r>
          </w:p>
        </w:tc>
        <w:tc>
          <w:tcPr>
            <w:tcW w:w="739" w:type="pct"/>
            <w:tcBorders>
              <w:top w:val="single" w:sz="4" w:space="0" w:color="auto"/>
              <w:left w:val="single" w:sz="4" w:space="0" w:color="auto"/>
              <w:bottom w:val="single" w:sz="4" w:space="0" w:color="auto"/>
              <w:right w:val="single" w:sz="4" w:space="0" w:color="auto"/>
            </w:tcBorders>
            <w:noWrap/>
            <w:vAlign w:val="center"/>
          </w:tcPr>
          <w:p w14:paraId="1EA44D90" w14:textId="02EB91BF" w:rsidR="005D52DB" w:rsidRPr="005C56BE" w:rsidRDefault="005D52DB" w:rsidP="005D52DB">
            <w:pPr>
              <w:jc w:val="center"/>
              <w:rPr>
                <w:rFonts w:ascii="Tahoma" w:hAnsi="Tahoma" w:cs="Tahoma"/>
                <w:color w:val="000000" w:themeColor="text1"/>
                <w:sz w:val="12"/>
                <w:szCs w:val="12"/>
              </w:rPr>
            </w:pPr>
            <w:r w:rsidRPr="005C56BE">
              <w:rPr>
                <w:rFonts w:ascii="Tahoma" w:hAnsi="Tahoma" w:cs="Tahoma"/>
                <w:sz w:val="12"/>
                <w:szCs w:val="12"/>
                <w:lang w:val="es-ES"/>
              </w:rPr>
              <w:t>Aprobó</w:t>
            </w:r>
          </w:p>
        </w:tc>
      </w:tr>
      <w:tr w:rsidR="005D52DB" w:rsidRPr="00DC71CF" w14:paraId="61A9DA7F" w14:textId="77777777" w:rsidTr="005C56BE">
        <w:trPr>
          <w:cantSplit/>
          <w:trHeight w:val="113"/>
        </w:trPr>
        <w:tc>
          <w:tcPr>
            <w:tcW w:w="1548" w:type="pct"/>
            <w:tcBorders>
              <w:top w:val="single" w:sz="4" w:space="0" w:color="auto"/>
              <w:left w:val="single" w:sz="4" w:space="0" w:color="auto"/>
              <w:bottom w:val="single" w:sz="4" w:space="0" w:color="auto"/>
              <w:right w:val="single" w:sz="4" w:space="0" w:color="auto"/>
            </w:tcBorders>
            <w:noWrap/>
            <w:vAlign w:val="center"/>
          </w:tcPr>
          <w:p w14:paraId="0922BA88" w14:textId="2242FD1C" w:rsidR="005D52DB" w:rsidRPr="005C56BE" w:rsidRDefault="005D52DB" w:rsidP="005D52DB">
            <w:pPr>
              <w:jc w:val="center"/>
              <w:rPr>
                <w:rFonts w:ascii="Tahoma" w:hAnsi="Tahoma" w:cs="Tahoma"/>
                <w:color w:val="000000" w:themeColor="text1"/>
                <w:sz w:val="12"/>
                <w:szCs w:val="12"/>
              </w:rPr>
            </w:pPr>
            <w:r w:rsidRPr="005C56BE">
              <w:rPr>
                <w:rFonts w:ascii="Tahoma" w:hAnsi="Tahoma" w:cs="Tahoma"/>
                <w:sz w:val="12"/>
                <w:szCs w:val="12"/>
                <w:lang w:val="es-ES"/>
              </w:rPr>
              <w:t>Lida Díaz Velandia</w:t>
            </w:r>
          </w:p>
        </w:tc>
        <w:tc>
          <w:tcPr>
            <w:tcW w:w="2713" w:type="pct"/>
            <w:tcBorders>
              <w:top w:val="single" w:sz="4" w:space="0" w:color="auto"/>
              <w:left w:val="single" w:sz="4" w:space="0" w:color="auto"/>
              <w:bottom w:val="single" w:sz="4" w:space="0" w:color="auto"/>
              <w:right w:val="single" w:sz="4" w:space="0" w:color="auto"/>
            </w:tcBorders>
            <w:noWrap/>
            <w:vAlign w:val="center"/>
          </w:tcPr>
          <w:p w14:paraId="145AB319" w14:textId="7EF4EFB5" w:rsidR="005D52DB" w:rsidRPr="005C56BE" w:rsidRDefault="005D52DB" w:rsidP="005D52DB">
            <w:pPr>
              <w:jc w:val="center"/>
              <w:rPr>
                <w:rFonts w:ascii="Tahoma" w:hAnsi="Tahoma" w:cs="Tahoma"/>
                <w:color w:val="000000" w:themeColor="text1"/>
                <w:sz w:val="12"/>
                <w:szCs w:val="12"/>
              </w:rPr>
            </w:pPr>
            <w:r w:rsidRPr="005C56BE">
              <w:rPr>
                <w:rFonts w:ascii="Tahoma" w:hAnsi="Tahoma" w:cs="Tahoma"/>
                <w:sz w:val="12"/>
                <w:szCs w:val="12"/>
                <w:lang w:val="es-ES"/>
              </w:rPr>
              <w:t>Directora de Inspección y Vigilancia</w:t>
            </w:r>
          </w:p>
        </w:tc>
        <w:tc>
          <w:tcPr>
            <w:tcW w:w="739" w:type="pct"/>
            <w:tcBorders>
              <w:top w:val="single" w:sz="4" w:space="0" w:color="auto"/>
              <w:left w:val="single" w:sz="4" w:space="0" w:color="auto"/>
              <w:bottom w:val="single" w:sz="4" w:space="0" w:color="auto"/>
              <w:right w:val="single" w:sz="4" w:space="0" w:color="auto"/>
            </w:tcBorders>
            <w:noWrap/>
            <w:vAlign w:val="center"/>
          </w:tcPr>
          <w:p w14:paraId="769588B1" w14:textId="159CFDE6" w:rsidR="005D52DB" w:rsidRPr="005C56BE" w:rsidRDefault="005D52DB" w:rsidP="005D52DB">
            <w:pPr>
              <w:jc w:val="center"/>
              <w:rPr>
                <w:rFonts w:ascii="Tahoma" w:hAnsi="Tahoma" w:cs="Tahoma"/>
                <w:color w:val="000000" w:themeColor="text1"/>
                <w:sz w:val="12"/>
                <w:szCs w:val="12"/>
              </w:rPr>
            </w:pPr>
            <w:r w:rsidRPr="005C56BE">
              <w:rPr>
                <w:rFonts w:ascii="Tahoma" w:hAnsi="Tahoma" w:cs="Tahoma"/>
                <w:sz w:val="12"/>
                <w:szCs w:val="12"/>
                <w:lang w:val="es-ES"/>
              </w:rPr>
              <w:t>Aprobó</w:t>
            </w:r>
          </w:p>
        </w:tc>
      </w:tr>
      <w:tr w:rsidR="005D52DB" w:rsidRPr="00DC71CF" w14:paraId="79E54D90" w14:textId="77777777" w:rsidTr="005C56BE">
        <w:trPr>
          <w:cantSplit/>
          <w:trHeight w:val="113"/>
        </w:trPr>
        <w:tc>
          <w:tcPr>
            <w:tcW w:w="1548" w:type="pct"/>
            <w:tcBorders>
              <w:top w:val="single" w:sz="4" w:space="0" w:color="auto"/>
              <w:left w:val="single" w:sz="4" w:space="0" w:color="auto"/>
              <w:bottom w:val="single" w:sz="4" w:space="0" w:color="auto"/>
              <w:right w:val="single" w:sz="4" w:space="0" w:color="auto"/>
            </w:tcBorders>
            <w:noWrap/>
            <w:vAlign w:val="center"/>
          </w:tcPr>
          <w:p w14:paraId="4C301F11" w14:textId="42C51FDF" w:rsidR="005D52DB" w:rsidRPr="005C56BE" w:rsidRDefault="005D52DB" w:rsidP="005D52DB">
            <w:pPr>
              <w:jc w:val="center"/>
              <w:rPr>
                <w:rFonts w:ascii="Tahoma" w:hAnsi="Tahoma" w:cs="Tahoma"/>
                <w:color w:val="000000" w:themeColor="text1"/>
                <w:sz w:val="12"/>
                <w:szCs w:val="12"/>
              </w:rPr>
            </w:pPr>
            <w:r w:rsidRPr="005C56BE">
              <w:rPr>
                <w:rFonts w:ascii="Tahoma" w:hAnsi="Tahoma" w:cs="Tahoma"/>
                <w:sz w:val="12"/>
                <w:szCs w:val="12"/>
                <w:lang w:val="es-ES"/>
              </w:rPr>
              <w:t>Carlos Alberto Benavides</w:t>
            </w:r>
          </w:p>
        </w:tc>
        <w:tc>
          <w:tcPr>
            <w:tcW w:w="2713" w:type="pct"/>
            <w:tcBorders>
              <w:top w:val="single" w:sz="4" w:space="0" w:color="auto"/>
              <w:left w:val="single" w:sz="4" w:space="0" w:color="auto"/>
              <w:bottom w:val="single" w:sz="4" w:space="0" w:color="auto"/>
              <w:right w:val="single" w:sz="4" w:space="0" w:color="auto"/>
            </w:tcBorders>
            <w:noWrap/>
            <w:vAlign w:val="center"/>
          </w:tcPr>
          <w:p w14:paraId="6D249C59" w14:textId="1F647426" w:rsidR="005D52DB" w:rsidRPr="005C56BE" w:rsidRDefault="005D52DB" w:rsidP="005D52DB">
            <w:pPr>
              <w:jc w:val="center"/>
              <w:rPr>
                <w:rFonts w:ascii="Tahoma" w:hAnsi="Tahoma" w:cs="Tahoma"/>
                <w:color w:val="000000" w:themeColor="text1"/>
                <w:sz w:val="12"/>
                <w:szCs w:val="12"/>
              </w:rPr>
            </w:pPr>
            <w:r w:rsidRPr="005C56BE">
              <w:rPr>
                <w:rFonts w:ascii="Tahoma" w:hAnsi="Tahoma" w:cs="Tahoma"/>
                <w:sz w:val="12"/>
                <w:szCs w:val="12"/>
                <w:lang w:val="es-ES"/>
              </w:rPr>
              <w:t>Dirección de Construcción y Conservación de Establecimientos Educativos</w:t>
            </w:r>
          </w:p>
        </w:tc>
        <w:tc>
          <w:tcPr>
            <w:tcW w:w="739" w:type="pct"/>
            <w:tcBorders>
              <w:top w:val="single" w:sz="4" w:space="0" w:color="auto"/>
              <w:left w:val="single" w:sz="4" w:space="0" w:color="auto"/>
              <w:bottom w:val="single" w:sz="4" w:space="0" w:color="auto"/>
              <w:right w:val="single" w:sz="4" w:space="0" w:color="auto"/>
            </w:tcBorders>
            <w:noWrap/>
            <w:vAlign w:val="center"/>
          </w:tcPr>
          <w:p w14:paraId="308F05FB" w14:textId="6BC889E1" w:rsidR="005D52DB" w:rsidRPr="005C56BE" w:rsidRDefault="005D52DB" w:rsidP="005D52DB">
            <w:pPr>
              <w:jc w:val="center"/>
              <w:rPr>
                <w:rFonts w:ascii="Tahoma" w:hAnsi="Tahoma" w:cs="Tahoma"/>
                <w:color w:val="000000" w:themeColor="text1"/>
                <w:sz w:val="12"/>
                <w:szCs w:val="12"/>
              </w:rPr>
            </w:pPr>
            <w:r w:rsidRPr="005C56BE">
              <w:rPr>
                <w:rFonts w:ascii="Tahoma" w:hAnsi="Tahoma" w:cs="Tahoma"/>
                <w:sz w:val="12"/>
                <w:szCs w:val="12"/>
                <w:lang w:val="es-ES"/>
              </w:rPr>
              <w:t>Revisó</w:t>
            </w:r>
          </w:p>
        </w:tc>
      </w:tr>
      <w:tr w:rsidR="005D52DB" w:rsidRPr="00DC71CF" w14:paraId="62BFA6C5" w14:textId="77777777" w:rsidTr="005C56BE">
        <w:trPr>
          <w:cantSplit/>
          <w:trHeight w:val="113"/>
        </w:trPr>
        <w:tc>
          <w:tcPr>
            <w:tcW w:w="1548" w:type="pct"/>
            <w:tcBorders>
              <w:top w:val="single" w:sz="4" w:space="0" w:color="auto"/>
              <w:left w:val="single" w:sz="4" w:space="0" w:color="auto"/>
              <w:bottom w:val="single" w:sz="4" w:space="0" w:color="auto"/>
              <w:right w:val="single" w:sz="4" w:space="0" w:color="auto"/>
            </w:tcBorders>
            <w:noWrap/>
            <w:vAlign w:val="center"/>
          </w:tcPr>
          <w:p w14:paraId="6CDD9647" w14:textId="3A42A040" w:rsidR="005D52DB" w:rsidRPr="005C56BE" w:rsidRDefault="005D52DB" w:rsidP="005D52DB">
            <w:pPr>
              <w:jc w:val="center"/>
              <w:rPr>
                <w:rFonts w:ascii="Tahoma" w:hAnsi="Tahoma" w:cs="Tahoma"/>
                <w:color w:val="000000" w:themeColor="text1"/>
                <w:sz w:val="12"/>
                <w:szCs w:val="12"/>
              </w:rPr>
            </w:pPr>
            <w:r w:rsidRPr="005C56BE">
              <w:rPr>
                <w:rFonts w:ascii="Tahoma" w:hAnsi="Tahoma" w:cs="Tahoma"/>
                <w:noProof/>
                <w:sz w:val="12"/>
                <w:szCs w:val="12"/>
                <w:lang w:val="es-ES"/>
              </w:rPr>
              <mc:AlternateContent>
                <mc:Choice Requires="wpi">
                  <w:drawing>
                    <wp:anchor distT="0" distB="0" distL="114300" distR="114300" simplePos="0" relativeHeight="251661312" behindDoc="0" locked="0" layoutInCell="1" allowOverlap="1" wp14:anchorId="1C462D9B" wp14:editId="4B505146">
                      <wp:simplePos x="0" y="0"/>
                      <wp:positionH relativeFrom="column">
                        <wp:posOffset>12065</wp:posOffset>
                      </wp:positionH>
                      <wp:positionV relativeFrom="paragraph">
                        <wp:posOffset>635</wp:posOffset>
                      </wp:positionV>
                      <wp:extent cx="13335" cy="13335"/>
                      <wp:effectExtent l="52705" t="55245" r="38735" b="45720"/>
                      <wp:wrapNone/>
                      <wp:docPr id="4" name="Entrada de lápiz 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spect="1" noEditPoints="1" noChangeArrowheads="1" noChangeShapeType="1"/>
                              </w14:cNvContentPartPr>
                            </w14:nvContentPartPr>
                            <w14:xfrm>
                              <a:off x="0" y="0"/>
                              <a:ext cx="13335" cy="13335"/>
                            </w14:xfrm>
                          </w14:contentPart>
                        </a:graphicData>
                      </a:graphic>
                      <wp14:sizeRelH relativeFrom="page">
                        <wp14:pctWidth>0</wp14:pctWidth>
                      </wp14:sizeRelH>
                      <wp14:sizeRelV relativeFrom="page">
                        <wp14:pctHeight>0</wp14:pctHeight>
                      </wp14:sizeRelV>
                    </wp:anchor>
                  </w:drawing>
                </mc:Choice>
                <mc:Fallback>
                  <w:pict>
                    <v:shapetype w14:anchorId="4817C44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3" o:spid="_x0000_s1026" type="#_x0000_t75" style="position:absolute;margin-left:-16.9pt;margin-top:-17.8pt;width:36.7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">
                      <v:imagedata r:id="rId15" o:title=""/>
                      <o:lock v:ext="edit" rotation="t" verticies="t" shapetype="t"/>
                    </v:shape>
                  </w:pict>
                </mc:Fallback>
              </mc:AlternateContent>
            </w:r>
            <w:r w:rsidRPr="005C56BE">
              <w:rPr>
                <w:rFonts w:ascii="Tahoma" w:hAnsi="Tahoma" w:cs="Tahoma"/>
                <w:sz w:val="12"/>
                <w:szCs w:val="12"/>
                <w:lang w:val="es-ES"/>
              </w:rPr>
              <w:t>Equipo ETDH I&amp;V</w:t>
            </w:r>
          </w:p>
        </w:tc>
        <w:tc>
          <w:tcPr>
            <w:tcW w:w="2713" w:type="pct"/>
            <w:tcBorders>
              <w:top w:val="single" w:sz="4" w:space="0" w:color="auto"/>
              <w:left w:val="single" w:sz="4" w:space="0" w:color="auto"/>
              <w:bottom w:val="single" w:sz="4" w:space="0" w:color="auto"/>
              <w:right w:val="single" w:sz="4" w:space="0" w:color="auto"/>
            </w:tcBorders>
            <w:noWrap/>
            <w:vAlign w:val="center"/>
          </w:tcPr>
          <w:p w14:paraId="0BDB237F" w14:textId="290A9583" w:rsidR="005D52DB" w:rsidRPr="005C56BE" w:rsidRDefault="005D52DB" w:rsidP="005D52DB">
            <w:pPr>
              <w:jc w:val="center"/>
              <w:rPr>
                <w:rFonts w:ascii="Tahoma" w:hAnsi="Tahoma" w:cs="Tahoma"/>
                <w:color w:val="000000" w:themeColor="text1"/>
                <w:sz w:val="12"/>
                <w:szCs w:val="12"/>
              </w:rPr>
            </w:pPr>
            <w:r w:rsidRPr="005C56BE">
              <w:rPr>
                <w:rFonts w:ascii="Tahoma" w:hAnsi="Tahoma" w:cs="Tahoma"/>
                <w:sz w:val="12"/>
                <w:szCs w:val="12"/>
                <w:lang w:val="es-ES"/>
              </w:rPr>
              <w:t>Abogados contratistas DIV</w:t>
            </w:r>
          </w:p>
        </w:tc>
        <w:tc>
          <w:tcPr>
            <w:tcW w:w="739" w:type="pct"/>
            <w:tcBorders>
              <w:top w:val="single" w:sz="4" w:space="0" w:color="auto"/>
              <w:left w:val="single" w:sz="4" w:space="0" w:color="auto"/>
              <w:bottom w:val="single" w:sz="4" w:space="0" w:color="auto"/>
              <w:right w:val="single" w:sz="4" w:space="0" w:color="auto"/>
            </w:tcBorders>
            <w:noWrap/>
            <w:vAlign w:val="center"/>
          </w:tcPr>
          <w:p w14:paraId="70ED82CB" w14:textId="16168966" w:rsidR="005D52DB" w:rsidRPr="005C56BE" w:rsidRDefault="005D52DB" w:rsidP="005D52DB">
            <w:pPr>
              <w:jc w:val="center"/>
              <w:rPr>
                <w:rFonts w:ascii="Tahoma" w:hAnsi="Tahoma" w:cs="Tahoma"/>
                <w:color w:val="000000" w:themeColor="text1"/>
                <w:sz w:val="12"/>
                <w:szCs w:val="12"/>
              </w:rPr>
            </w:pPr>
            <w:r w:rsidRPr="005C56BE">
              <w:rPr>
                <w:rFonts w:ascii="Tahoma" w:hAnsi="Tahoma" w:cs="Tahoma"/>
                <w:sz w:val="12"/>
                <w:szCs w:val="12"/>
                <w:lang w:val="es-ES"/>
              </w:rPr>
              <w:t>Proyectó</w:t>
            </w:r>
          </w:p>
        </w:tc>
      </w:tr>
    </w:tbl>
    <w:p w14:paraId="1217CA5F" w14:textId="77777777" w:rsidR="006F680F" w:rsidRPr="003E7747" w:rsidRDefault="006F680F" w:rsidP="00191C9B">
      <w:pPr>
        <w:rPr>
          <w:rFonts w:ascii="Tahoma" w:hAnsi="Tahoma" w:cs="Tahoma"/>
          <w:sz w:val="22"/>
          <w:szCs w:val="22"/>
        </w:rPr>
      </w:pPr>
    </w:p>
    <w:sectPr w:rsidR="006F680F" w:rsidRPr="003E7747" w:rsidSect="006F680F">
      <w:headerReference w:type="default" r:id="rId16"/>
      <w:footerReference w:type="default" r:id="rId17"/>
      <w:headerReference w:type="first" r:id="rId18"/>
      <w:footerReference w:type="first" r:id="rId19"/>
      <w:type w:val="continuous"/>
      <w:pgSz w:w="12242" w:h="15842" w:code="1"/>
      <w:pgMar w:top="2268" w:right="1134" w:bottom="1701" w:left="1134" w:header="1021" w:footer="680"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3AC4E" w14:textId="77777777" w:rsidR="00C23B31" w:rsidRPr="00DC71CF" w:rsidRDefault="00C23B31">
      <w:r w:rsidRPr="00DC71CF">
        <w:separator/>
      </w:r>
    </w:p>
  </w:endnote>
  <w:endnote w:type="continuationSeparator" w:id="0">
    <w:p w14:paraId="75661D5F" w14:textId="77777777" w:rsidR="00C23B31" w:rsidRPr="00DC71CF" w:rsidRDefault="00C23B31">
      <w:r w:rsidRPr="00DC71CF">
        <w:continuationSeparator/>
      </w:r>
    </w:p>
  </w:endnote>
  <w:endnote w:type="continuationNotice" w:id="1">
    <w:p w14:paraId="2F6313A5" w14:textId="77777777" w:rsidR="00C23B31" w:rsidRPr="00DC71CF" w:rsidRDefault="00C23B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59E17" w14:textId="77777777" w:rsidR="00824994" w:rsidRPr="00794052" w:rsidRDefault="00824994" w:rsidP="00824994">
    <w:pPr>
      <w:rPr>
        <w:rFonts w:ascii="Arial" w:hAnsi="Arial" w:cs="Arial"/>
        <w:sz w:val="12"/>
        <w:szCs w:val="12"/>
      </w:rPr>
    </w:pPr>
    <w:r w:rsidRPr="00794052">
      <w:rPr>
        <w:rFonts w:ascii="Arial" w:hAnsi="Arial" w:cs="Arial"/>
        <w:sz w:val="12"/>
        <w:szCs w:val="12"/>
      </w:rPr>
      <w:t>Av. El Dorado No. 66 – 63</w:t>
    </w:r>
  </w:p>
  <w:p w14:paraId="433EB138" w14:textId="77777777" w:rsidR="00824994" w:rsidRPr="00CD6B3E" w:rsidRDefault="00824994" w:rsidP="00824994">
    <w:pPr>
      <w:rPr>
        <w:rFonts w:ascii="Arial" w:hAnsi="Arial" w:cs="Arial"/>
        <w:sz w:val="12"/>
        <w:szCs w:val="12"/>
        <w:lang w:val="pt-PT"/>
      </w:rPr>
    </w:pPr>
    <w:r w:rsidRPr="00CD6B3E">
      <w:rPr>
        <w:rFonts w:ascii="Arial" w:hAnsi="Arial" w:cs="Arial"/>
        <w:sz w:val="12"/>
        <w:szCs w:val="12"/>
        <w:lang w:val="pt-PT"/>
      </w:rPr>
      <w:t>Código Postal: 111321</w:t>
    </w:r>
  </w:p>
  <w:p w14:paraId="57219B84" w14:textId="77777777" w:rsidR="00824994" w:rsidRPr="00CD6B3E" w:rsidRDefault="00824994" w:rsidP="00824994">
    <w:pPr>
      <w:tabs>
        <w:tab w:val="left" w:pos="2279"/>
      </w:tabs>
      <w:rPr>
        <w:rFonts w:ascii="Arial" w:hAnsi="Arial" w:cs="Arial"/>
        <w:sz w:val="12"/>
        <w:szCs w:val="12"/>
        <w:lang w:val="pt-PT"/>
      </w:rPr>
    </w:pPr>
    <w:r w:rsidRPr="00CD6B3E">
      <w:rPr>
        <w:rFonts w:ascii="Arial" w:hAnsi="Arial" w:cs="Arial"/>
        <w:sz w:val="12"/>
        <w:szCs w:val="12"/>
        <w:lang w:val="pt-PT"/>
      </w:rPr>
      <w:t>PBX: 324 10 00</w:t>
    </w:r>
  </w:p>
  <w:p w14:paraId="3F57FF8E" w14:textId="77777777" w:rsidR="00824994" w:rsidRPr="00CD6B3E" w:rsidRDefault="00824994" w:rsidP="00824994">
    <w:pPr>
      <w:rPr>
        <w:rFonts w:ascii="Arial" w:hAnsi="Arial" w:cs="Arial"/>
        <w:sz w:val="12"/>
        <w:szCs w:val="12"/>
        <w:lang w:val="pt-PT"/>
      </w:rPr>
    </w:pPr>
    <w:r w:rsidRPr="00CD6B3E">
      <w:rPr>
        <w:rFonts w:ascii="Arial" w:hAnsi="Arial" w:cs="Arial"/>
        <w:sz w:val="12"/>
        <w:szCs w:val="12"/>
        <w:lang w:val="pt-PT"/>
      </w:rPr>
      <w:t>Fax: 315 34 48</w:t>
    </w:r>
  </w:p>
  <w:p w14:paraId="2DF3B3F1" w14:textId="77777777" w:rsidR="00824994" w:rsidRPr="00CD6B3E" w:rsidRDefault="00824994" w:rsidP="00824994">
    <w:pPr>
      <w:tabs>
        <w:tab w:val="left" w:pos="5251"/>
      </w:tabs>
      <w:rPr>
        <w:rFonts w:ascii="Arial" w:hAnsi="Arial" w:cs="Arial"/>
        <w:sz w:val="12"/>
        <w:szCs w:val="12"/>
        <w:lang w:val="pt-PT"/>
      </w:rPr>
    </w:pPr>
    <w:r w:rsidRPr="00CD6B3E">
      <w:rPr>
        <w:rFonts w:ascii="Arial" w:hAnsi="Arial" w:cs="Arial"/>
        <w:sz w:val="12"/>
        <w:szCs w:val="12"/>
        <w:lang w:val="pt-PT"/>
      </w:rPr>
      <w:t>www.educacionbogota.edu.co</w:t>
    </w:r>
  </w:p>
  <w:p w14:paraId="794AF7B8" w14:textId="77777777" w:rsidR="00824994" w:rsidRPr="00794052" w:rsidRDefault="00824994" w:rsidP="00824994">
    <w:pPr>
      <w:pStyle w:val="Piedepgina"/>
      <w:tabs>
        <w:tab w:val="clear" w:pos="8504"/>
        <w:tab w:val="right" w:pos="9923"/>
      </w:tabs>
      <w:ind w:right="-93"/>
      <w:rPr>
        <w:rFonts w:ascii="Tahoma" w:hAnsi="Tahoma" w:cs="Tahoma"/>
        <w:sz w:val="12"/>
        <w:szCs w:val="12"/>
      </w:rPr>
    </w:pPr>
    <w:r w:rsidRPr="00794052">
      <w:rPr>
        <w:rFonts w:ascii="Arial" w:hAnsi="Arial" w:cs="Arial"/>
        <w:sz w:val="12"/>
        <w:szCs w:val="12"/>
      </w:rPr>
      <w:t>Información: Línea 195</w:t>
    </w:r>
    <w:r w:rsidRPr="00794052">
      <w:rPr>
        <w:rFonts w:ascii="Arial" w:hAnsi="Arial" w:cs="Arial"/>
        <w:sz w:val="12"/>
        <w:szCs w:val="12"/>
      </w:rPr>
      <w:tab/>
    </w:r>
    <w:r w:rsidRPr="00794052">
      <w:rPr>
        <w:rFonts w:ascii="Arial" w:hAnsi="Arial" w:cs="Arial"/>
        <w:sz w:val="12"/>
        <w:szCs w:val="12"/>
      </w:rPr>
      <w:tab/>
    </w:r>
    <w:r w:rsidRPr="00794052">
      <w:rPr>
        <w:rFonts w:ascii="Tahoma" w:hAnsi="Tahoma" w:cs="Tahoma"/>
        <w:sz w:val="12"/>
        <w:szCs w:val="12"/>
      </w:rPr>
      <w:t>16-IF- 001 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6F9E5" w14:textId="77777777" w:rsidR="00824994" w:rsidRPr="00794052" w:rsidRDefault="00824994" w:rsidP="00824994">
    <w:pPr>
      <w:rPr>
        <w:rFonts w:ascii="Arial" w:hAnsi="Arial" w:cs="Arial"/>
        <w:sz w:val="12"/>
        <w:szCs w:val="12"/>
      </w:rPr>
    </w:pPr>
    <w:bookmarkStart w:id="2" w:name="_Hlk175911188"/>
    <w:r w:rsidRPr="00794052">
      <w:rPr>
        <w:rFonts w:ascii="Arial" w:hAnsi="Arial" w:cs="Arial"/>
        <w:sz w:val="12"/>
        <w:szCs w:val="12"/>
      </w:rPr>
      <w:t>Av. El Dorado No. 66 – 63</w:t>
    </w:r>
  </w:p>
  <w:p w14:paraId="343DB05E" w14:textId="77777777" w:rsidR="00824994" w:rsidRPr="00CD6B3E" w:rsidRDefault="00824994" w:rsidP="00824994">
    <w:pPr>
      <w:rPr>
        <w:rFonts w:ascii="Arial" w:hAnsi="Arial" w:cs="Arial"/>
        <w:sz w:val="12"/>
        <w:szCs w:val="12"/>
        <w:lang w:val="pt-PT"/>
      </w:rPr>
    </w:pPr>
    <w:r w:rsidRPr="00CD6B3E">
      <w:rPr>
        <w:rFonts w:ascii="Arial" w:hAnsi="Arial" w:cs="Arial"/>
        <w:sz w:val="12"/>
        <w:szCs w:val="12"/>
        <w:lang w:val="pt-PT"/>
      </w:rPr>
      <w:t>Código Postal: 111321</w:t>
    </w:r>
  </w:p>
  <w:p w14:paraId="3DA3C863" w14:textId="77777777" w:rsidR="00824994" w:rsidRPr="00CD6B3E" w:rsidRDefault="00824994" w:rsidP="00824994">
    <w:pPr>
      <w:tabs>
        <w:tab w:val="left" w:pos="2279"/>
      </w:tabs>
      <w:rPr>
        <w:rFonts w:ascii="Arial" w:hAnsi="Arial" w:cs="Arial"/>
        <w:sz w:val="12"/>
        <w:szCs w:val="12"/>
        <w:lang w:val="pt-PT"/>
      </w:rPr>
    </w:pPr>
    <w:r w:rsidRPr="00CD6B3E">
      <w:rPr>
        <w:rFonts w:ascii="Arial" w:hAnsi="Arial" w:cs="Arial"/>
        <w:sz w:val="12"/>
        <w:szCs w:val="12"/>
        <w:lang w:val="pt-PT"/>
      </w:rPr>
      <w:t>PBX: 324 10 00</w:t>
    </w:r>
  </w:p>
  <w:p w14:paraId="4F4B4752" w14:textId="77777777" w:rsidR="00824994" w:rsidRPr="00CD6B3E" w:rsidRDefault="00824994" w:rsidP="00824994">
    <w:pPr>
      <w:rPr>
        <w:rFonts w:ascii="Arial" w:hAnsi="Arial" w:cs="Arial"/>
        <w:sz w:val="12"/>
        <w:szCs w:val="12"/>
        <w:lang w:val="pt-PT"/>
      </w:rPr>
    </w:pPr>
    <w:r w:rsidRPr="00CD6B3E">
      <w:rPr>
        <w:rFonts w:ascii="Arial" w:hAnsi="Arial" w:cs="Arial"/>
        <w:sz w:val="12"/>
        <w:szCs w:val="12"/>
        <w:lang w:val="pt-PT"/>
      </w:rPr>
      <w:t>Fax: 315 34 48</w:t>
    </w:r>
  </w:p>
  <w:p w14:paraId="15FBE7F6" w14:textId="77777777" w:rsidR="00824994" w:rsidRPr="00CD6B3E" w:rsidRDefault="00824994" w:rsidP="00824994">
    <w:pPr>
      <w:tabs>
        <w:tab w:val="left" w:pos="5251"/>
      </w:tabs>
      <w:rPr>
        <w:rFonts w:ascii="Arial" w:hAnsi="Arial" w:cs="Arial"/>
        <w:sz w:val="12"/>
        <w:szCs w:val="12"/>
        <w:lang w:val="pt-PT"/>
      </w:rPr>
    </w:pPr>
    <w:r w:rsidRPr="00CD6B3E">
      <w:rPr>
        <w:rFonts w:ascii="Arial" w:hAnsi="Arial" w:cs="Arial"/>
        <w:sz w:val="12"/>
        <w:szCs w:val="12"/>
        <w:lang w:val="pt-PT"/>
      </w:rPr>
      <w:t>www.educacionbogota.edu.co</w:t>
    </w:r>
  </w:p>
  <w:p w14:paraId="7BFE93AB" w14:textId="77777777" w:rsidR="00824994" w:rsidRPr="00794052" w:rsidRDefault="00824994" w:rsidP="00824994">
    <w:pPr>
      <w:pStyle w:val="Piedepgina"/>
      <w:tabs>
        <w:tab w:val="clear" w:pos="8504"/>
        <w:tab w:val="right" w:pos="9923"/>
      </w:tabs>
      <w:ind w:right="-93"/>
      <w:rPr>
        <w:rFonts w:ascii="Tahoma" w:hAnsi="Tahoma" w:cs="Tahoma"/>
        <w:sz w:val="12"/>
        <w:szCs w:val="12"/>
      </w:rPr>
    </w:pPr>
    <w:r w:rsidRPr="00794052">
      <w:rPr>
        <w:rFonts w:ascii="Arial" w:hAnsi="Arial" w:cs="Arial"/>
        <w:sz w:val="12"/>
        <w:szCs w:val="12"/>
      </w:rPr>
      <w:t>Información: Línea 195</w:t>
    </w:r>
    <w:r w:rsidRPr="00794052">
      <w:rPr>
        <w:rFonts w:ascii="Arial" w:hAnsi="Arial" w:cs="Arial"/>
        <w:sz w:val="12"/>
        <w:szCs w:val="12"/>
      </w:rPr>
      <w:tab/>
    </w:r>
    <w:r w:rsidRPr="00794052">
      <w:rPr>
        <w:rFonts w:ascii="Arial" w:hAnsi="Arial" w:cs="Arial"/>
        <w:sz w:val="12"/>
        <w:szCs w:val="12"/>
      </w:rPr>
      <w:tab/>
    </w:r>
    <w:r w:rsidRPr="00794052">
      <w:rPr>
        <w:rFonts w:ascii="Tahoma" w:hAnsi="Tahoma" w:cs="Tahoma"/>
        <w:sz w:val="12"/>
        <w:szCs w:val="12"/>
      </w:rPr>
      <w:t>16-IF- 001 V1</w:t>
    </w:r>
  </w:p>
  <w:bookmarkEnd w:i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6C454" w14:textId="77777777" w:rsidR="00C23B31" w:rsidRPr="00DC71CF" w:rsidRDefault="00C23B31">
      <w:r w:rsidRPr="00DC71CF">
        <w:separator/>
      </w:r>
    </w:p>
  </w:footnote>
  <w:footnote w:type="continuationSeparator" w:id="0">
    <w:p w14:paraId="3557B9E0" w14:textId="77777777" w:rsidR="00C23B31" w:rsidRPr="00DC71CF" w:rsidRDefault="00C23B31">
      <w:r w:rsidRPr="00DC71CF">
        <w:continuationSeparator/>
      </w:r>
    </w:p>
  </w:footnote>
  <w:footnote w:type="continuationNotice" w:id="1">
    <w:p w14:paraId="0A2F7C54" w14:textId="77777777" w:rsidR="00C23B31" w:rsidRPr="00DC71CF" w:rsidRDefault="00C23B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38BBC" w14:textId="77777777" w:rsidR="00EA2052" w:rsidRPr="005E720A" w:rsidRDefault="00EA2052" w:rsidP="00EA2052">
    <w:pPr>
      <w:jc w:val="right"/>
      <w:rPr>
        <w:rFonts w:ascii="Tahoma" w:hAnsi="Tahoma" w:cs="Tahoma"/>
        <w:noProof/>
        <w:sz w:val="16"/>
        <w:szCs w:val="16"/>
      </w:rPr>
    </w:pPr>
    <w:r w:rsidRPr="005E720A">
      <w:rPr>
        <w:rFonts w:ascii="Tahoma" w:hAnsi="Tahoma" w:cs="Tahoma"/>
        <w:noProof/>
        <w:sz w:val="22"/>
        <w:szCs w:val="22"/>
        <w:lang w:val="en-US"/>
      </w:rPr>
      <w:drawing>
        <wp:anchor distT="0" distB="0" distL="114300" distR="114300" simplePos="0" relativeHeight="251660288" behindDoc="0" locked="0" layoutInCell="1" allowOverlap="1" wp14:anchorId="5621A30A" wp14:editId="63789DE2">
          <wp:simplePos x="0" y="0"/>
          <wp:positionH relativeFrom="margin">
            <wp:align>center</wp:align>
          </wp:positionH>
          <wp:positionV relativeFrom="paragraph">
            <wp:posOffset>-146685</wp:posOffset>
          </wp:positionV>
          <wp:extent cx="958850" cy="777728"/>
          <wp:effectExtent l="0" t="0" r="0" b="3810"/>
          <wp:wrapNone/>
          <wp:docPr id="2"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870993"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7777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720A">
      <w:rPr>
        <w:rFonts w:ascii="Tahoma" w:hAnsi="Tahoma" w:cs="Tahoma"/>
        <w:sz w:val="16"/>
        <w:szCs w:val="16"/>
      </w:rPr>
      <w:t xml:space="preserve">Página </w:t>
    </w:r>
    <w:r w:rsidRPr="005E720A">
      <w:rPr>
        <w:rFonts w:ascii="Tahoma" w:hAnsi="Tahoma" w:cs="Tahoma"/>
        <w:sz w:val="16"/>
        <w:szCs w:val="16"/>
      </w:rPr>
      <w:fldChar w:fldCharType="begin"/>
    </w:r>
    <w:r w:rsidRPr="005E720A">
      <w:rPr>
        <w:rFonts w:ascii="Tahoma" w:hAnsi="Tahoma" w:cs="Tahoma"/>
        <w:sz w:val="16"/>
        <w:szCs w:val="16"/>
      </w:rPr>
      <w:instrText xml:space="preserve"> PAGE </w:instrText>
    </w:r>
    <w:r w:rsidRPr="005E720A">
      <w:rPr>
        <w:rFonts w:ascii="Tahoma" w:hAnsi="Tahoma" w:cs="Tahoma"/>
        <w:sz w:val="16"/>
        <w:szCs w:val="16"/>
      </w:rPr>
      <w:fldChar w:fldCharType="separate"/>
    </w:r>
    <w:r>
      <w:rPr>
        <w:rFonts w:ascii="Tahoma" w:hAnsi="Tahoma" w:cs="Tahoma"/>
        <w:sz w:val="16"/>
        <w:szCs w:val="16"/>
      </w:rPr>
      <w:t>1</w:t>
    </w:r>
    <w:r w:rsidRPr="005E720A">
      <w:rPr>
        <w:rFonts w:ascii="Tahoma" w:hAnsi="Tahoma" w:cs="Tahoma"/>
        <w:noProof/>
        <w:sz w:val="16"/>
        <w:szCs w:val="16"/>
      </w:rPr>
      <w:fldChar w:fldCharType="end"/>
    </w:r>
    <w:r w:rsidRPr="005E720A">
      <w:rPr>
        <w:rFonts w:ascii="Tahoma" w:hAnsi="Tahoma" w:cs="Tahoma"/>
        <w:sz w:val="16"/>
        <w:szCs w:val="16"/>
      </w:rPr>
      <w:t xml:space="preserve"> de </w:t>
    </w:r>
    <w:r w:rsidRPr="005E720A">
      <w:rPr>
        <w:rFonts w:ascii="Tahoma" w:hAnsi="Tahoma" w:cs="Tahoma"/>
        <w:sz w:val="16"/>
        <w:szCs w:val="16"/>
      </w:rPr>
      <w:fldChar w:fldCharType="begin"/>
    </w:r>
    <w:r w:rsidRPr="005E720A">
      <w:rPr>
        <w:rFonts w:ascii="Tahoma" w:hAnsi="Tahoma" w:cs="Tahoma"/>
        <w:sz w:val="16"/>
        <w:szCs w:val="16"/>
      </w:rPr>
      <w:instrText xml:space="preserve"> NUMPAGES </w:instrText>
    </w:r>
    <w:r w:rsidRPr="005E720A">
      <w:rPr>
        <w:rFonts w:ascii="Tahoma" w:hAnsi="Tahoma" w:cs="Tahoma"/>
        <w:sz w:val="16"/>
        <w:szCs w:val="16"/>
      </w:rPr>
      <w:fldChar w:fldCharType="separate"/>
    </w:r>
    <w:r>
      <w:rPr>
        <w:rFonts w:ascii="Tahoma" w:hAnsi="Tahoma" w:cs="Tahoma"/>
        <w:sz w:val="16"/>
        <w:szCs w:val="16"/>
      </w:rPr>
      <w:t>2</w:t>
    </w:r>
    <w:r w:rsidRPr="005E720A">
      <w:rPr>
        <w:rFonts w:ascii="Tahoma" w:hAnsi="Tahoma" w:cs="Tahoma"/>
        <w:noProof/>
        <w:sz w:val="16"/>
        <w:szCs w:val="16"/>
      </w:rPr>
      <w:fldChar w:fldCharType="end"/>
    </w:r>
  </w:p>
  <w:p w14:paraId="356458EE" w14:textId="77777777" w:rsidR="00EA2052" w:rsidRPr="006F5035" w:rsidRDefault="00EA2052" w:rsidP="00EA2052">
    <w:pPr>
      <w:pStyle w:val="Encabezado"/>
      <w:rPr>
        <w:rFonts w:ascii="Tahoma" w:hAnsi="Tahoma" w:cs="Tahoma"/>
        <w:sz w:val="19"/>
        <w:szCs w:val="19"/>
      </w:rPr>
    </w:pPr>
  </w:p>
  <w:p w14:paraId="65B46DB0" w14:textId="77777777" w:rsidR="00EA2052" w:rsidRPr="006F5035" w:rsidRDefault="00EA2052" w:rsidP="00EA2052">
    <w:pPr>
      <w:pStyle w:val="Encabezado"/>
      <w:rPr>
        <w:rFonts w:ascii="Tahoma" w:hAnsi="Tahoma" w:cs="Tahoma"/>
        <w:sz w:val="19"/>
        <w:szCs w:val="19"/>
      </w:rPr>
    </w:pPr>
  </w:p>
  <w:p w14:paraId="55E0E0DD" w14:textId="77777777" w:rsidR="00EA2052" w:rsidRPr="006F5035" w:rsidRDefault="00EA2052" w:rsidP="00EA2052">
    <w:pPr>
      <w:pStyle w:val="Encabezado"/>
      <w:rPr>
        <w:rFonts w:ascii="Tahoma" w:hAnsi="Tahoma" w:cs="Tahoma"/>
        <w:sz w:val="19"/>
        <w:szCs w:val="19"/>
      </w:rPr>
    </w:pPr>
  </w:p>
  <w:p w14:paraId="2F1F55A7" w14:textId="77777777" w:rsidR="00EA2052" w:rsidRPr="006F5035" w:rsidRDefault="00EA2052" w:rsidP="00EA2052">
    <w:pPr>
      <w:pStyle w:val="Encabezado"/>
      <w:rPr>
        <w:rFonts w:ascii="Tahoma" w:hAnsi="Tahoma" w:cs="Tahoma"/>
        <w:sz w:val="19"/>
        <w:szCs w:val="19"/>
      </w:rPr>
    </w:pPr>
  </w:p>
  <w:p w14:paraId="6025B990" w14:textId="77777777" w:rsidR="00EA2052" w:rsidRPr="006F5035" w:rsidRDefault="00EA2052" w:rsidP="00EA2052">
    <w:pPr>
      <w:pStyle w:val="Encabezado"/>
      <w:jc w:val="center"/>
      <w:rPr>
        <w:rFonts w:ascii="Tahoma" w:hAnsi="Tahoma" w:cs="Tahoma"/>
        <w:sz w:val="19"/>
        <w:szCs w:val="19"/>
      </w:rPr>
    </w:pPr>
    <w:r w:rsidRPr="006F5035">
      <w:rPr>
        <w:rFonts w:ascii="Tahoma" w:hAnsi="Tahoma" w:cs="Tahoma"/>
        <w:sz w:val="19"/>
        <w:szCs w:val="19"/>
      </w:rPr>
      <w:t>Continuación de la Resolución No. _____</w:t>
    </w:r>
    <w:r>
      <w:rPr>
        <w:rFonts w:ascii="Tahoma" w:hAnsi="Tahoma" w:cs="Tahoma"/>
        <w:sz w:val="19"/>
        <w:szCs w:val="19"/>
      </w:rPr>
      <w:t>__</w:t>
    </w:r>
    <w:r w:rsidRPr="006F5035">
      <w:rPr>
        <w:rFonts w:ascii="Tahoma" w:hAnsi="Tahoma" w:cs="Tahoma"/>
        <w:sz w:val="19"/>
        <w:szCs w:val="19"/>
      </w:rPr>
      <w:t>_____ de 202</w:t>
    </w:r>
    <w:r w:rsidR="00FF07A2">
      <w:rPr>
        <w:rFonts w:ascii="Tahoma" w:hAnsi="Tahoma" w:cs="Tahoma"/>
        <w:sz w:val="19"/>
        <w:szCs w:val="19"/>
      </w:rPr>
      <w:t>5</w:t>
    </w:r>
  </w:p>
  <w:p w14:paraId="66DC5D76" w14:textId="77777777" w:rsidR="005C56BE" w:rsidRPr="005C56BE" w:rsidRDefault="005C56BE" w:rsidP="005C56BE">
    <w:pPr>
      <w:pStyle w:val="Encabezado"/>
      <w:rPr>
        <w:rFonts w:ascii="Tahoma" w:hAnsi="Tahoma" w:cs="Tahoma"/>
        <w:b/>
        <w:iCs/>
      </w:rPr>
    </w:pPr>
  </w:p>
  <w:p w14:paraId="2EFA69AF" w14:textId="77777777" w:rsidR="005C56BE" w:rsidRPr="005C56BE" w:rsidRDefault="005C56BE" w:rsidP="005C56BE">
    <w:pPr>
      <w:pStyle w:val="Encabezado"/>
      <w:jc w:val="center"/>
      <w:rPr>
        <w:rFonts w:ascii="Tahoma" w:hAnsi="Tahoma" w:cs="Tahoma"/>
        <w:b/>
        <w:iCs/>
        <w:lang w:val="es-ES"/>
      </w:rPr>
    </w:pPr>
    <w:r w:rsidRPr="005C56BE">
      <w:rPr>
        <w:rFonts w:ascii="Tahoma" w:hAnsi="Tahoma" w:cs="Tahoma"/>
        <w:b/>
        <w:iCs/>
        <w:lang w:val="es-ES"/>
      </w:rPr>
      <w:t>“</w:t>
    </w:r>
    <w:r w:rsidRPr="005C56BE">
      <w:rPr>
        <w:rFonts w:ascii="Tahoma" w:hAnsi="Tahoma" w:cs="Tahoma"/>
        <w:b/>
        <w:bCs/>
        <w:iCs/>
        <w:lang w:val="es-ES"/>
      </w:rPr>
      <w:t>Por la cual se establecen directrices para las Direcciones Locales de Educación y Equipos Locales de Inspección y Vigilancia, para la expedición y modificación de la Licencia de Funcionamiento de las Instituciones de Educación para el Trabajo y Desarrollo Humano en Bogotá D.C</w:t>
    </w:r>
    <w:r w:rsidRPr="005C56BE">
      <w:rPr>
        <w:rFonts w:ascii="Tahoma" w:hAnsi="Tahoma" w:cs="Tahoma"/>
        <w:b/>
        <w:iCs/>
        <w:lang w:val="es-ES"/>
      </w:rPr>
      <w:t>”</w:t>
    </w:r>
  </w:p>
  <w:p w14:paraId="6EA45DA5" w14:textId="77777777" w:rsidR="004E6DE0" w:rsidRPr="00EA2052" w:rsidRDefault="004E6DE0" w:rsidP="00D71120">
    <w:pPr>
      <w:pStyle w:val="Encabezado"/>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4D32" w14:textId="77777777" w:rsidR="00090912" w:rsidRPr="005E720A" w:rsidRDefault="00090912" w:rsidP="00090912">
    <w:pPr>
      <w:jc w:val="right"/>
      <w:rPr>
        <w:rFonts w:ascii="Tahoma" w:hAnsi="Tahoma" w:cs="Tahoma"/>
        <w:noProof/>
        <w:sz w:val="16"/>
        <w:szCs w:val="16"/>
      </w:rPr>
    </w:pPr>
    <w:r w:rsidRPr="005E720A">
      <w:rPr>
        <w:rFonts w:ascii="Tahoma" w:hAnsi="Tahoma" w:cs="Tahoma"/>
        <w:noProof/>
        <w:sz w:val="22"/>
        <w:szCs w:val="22"/>
        <w:lang w:val="en-US"/>
      </w:rPr>
      <w:drawing>
        <wp:anchor distT="0" distB="0" distL="114300" distR="114300" simplePos="0" relativeHeight="251659264" behindDoc="0" locked="0" layoutInCell="1" allowOverlap="1" wp14:anchorId="254DCC7B" wp14:editId="34AA5B4F">
          <wp:simplePos x="0" y="0"/>
          <wp:positionH relativeFrom="margin">
            <wp:align>center</wp:align>
          </wp:positionH>
          <wp:positionV relativeFrom="paragraph">
            <wp:posOffset>-146685</wp:posOffset>
          </wp:positionV>
          <wp:extent cx="958850" cy="777728"/>
          <wp:effectExtent l="0" t="0" r="0" b="3810"/>
          <wp:wrapNone/>
          <wp:docPr id="3"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870993"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7777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720A">
      <w:rPr>
        <w:rFonts w:ascii="Tahoma" w:hAnsi="Tahoma" w:cs="Tahoma"/>
        <w:sz w:val="16"/>
        <w:szCs w:val="16"/>
      </w:rPr>
      <w:t xml:space="preserve">Página </w:t>
    </w:r>
    <w:r w:rsidRPr="005E720A">
      <w:rPr>
        <w:rFonts w:ascii="Tahoma" w:hAnsi="Tahoma" w:cs="Tahoma"/>
        <w:sz w:val="16"/>
        <w:szCs w:val="16"/>
      </w:rPr>
      <w:fldChar w:fldCharType="begin"/>
    </w:r>
    <w:r w:rsidRPr="005E720A">
      <w:rPr>
        <w:rFonts w:ascii="Tahoma" w:hAnsi="Tahoma" w:cs="Tahoma"/>
        <w:sz w:val="16"/>
        <w:szCs w:val="16"/>
      </w:rPr>
      <w:instrText xml:space="preserve"> PAGE </w:instrText>
    </w:r>
    <w:r w:rsidRPr="005E720A">
      <w:rPr>
        <w:rFonts w:ascii="Tahoma" w:hAnsi="Tahoma" w:cs="Tahoma"/>
        <w:sz w:val="16"/>
        <w:szCs w:val="16"/>
      </w:rPr>
      <w:fldChar w:fldCharType="separate"/>
    </w:r>
    <w:r>
      <w:rPr>
        <w:rFonts w:ascii="Tahoma" w:hAnsi="Tahoma" w:cs="Tahoma"/>
        <w:sz w:val="16"/>
        <w:szCs w:val="16"/>
      </w:rPr>
      <w:t>1</w:t>
    </w:r>
    <w:r w:rsidRPr="005E720A">
      <w:rPr>
        <w:rFonts w:ascii="Tahoma" w:hAnsi="Tahoma" w:cs="Tahoma"/>
        <w:noProof/>
        <w:sz w:val="16"/>
        <w:szCs w:val="16"/>
      </w:rPr>
      <w:fldChar w:fldCharType="end"/>
    </w:r>
    <w:r w:rsidRPr="005E720A">
      <w:rPr>
        <w:rFonts w:ascii="Tahoma" w:hAnsi="Tahoma" w:cs="Tahoma"/>
        <w:sz w:val="16"/>
        <w:szCs w:val="16"/>
      </w:rPr>
      <w:t xml:space="preserve"> de </w:t>
    </w:r>
    <w:r w:rsidRPr="005E720A">
      <w:rPr>
        <w:rFonts w:ascii="Tahoma" w:hAnsi="Tahoma" w:cs="Tahoma"/>
        <w:sz w:val="16"/>
        <w:szCs w:val="16"/>
      </w:rPr>
      <w:fldChar w:fldCharType="begin"/>
    </w:r>
    <w:r w:rsidRPr="005E720A">
      <w:rPr>
        <w:rFonts w:ascii="Tahoma" w:hAnsi="Tahoma" w:cs="Tahoma"/>
        <w:sz w:val="16"/>
        <w:szCs w:val="16"/>
      </w:rPr>
      <w:instrText xml:space="preserve"> NUMPAGES </w:instrText>
    </w:r>
    <w:r w:rsidRPr="005E720A">
      <w:rPr>
        <w:rFonts w:ascii="Tahoma" w:hAnsi="Tahoma" w:cs="Tahoma"/>
        <w:sz w:val="16"/>
        <w:szCs w:val="16"/>
      </w:rPr>
      <w:fldChar w:fldCharType="separate"/>
    </w:r>
    <w:r>
      <w:rPr>
        <w:rFonts w:ascii="Tahoma" w:hAnsi="Tahoma" w:cs="Tahoma"/>
        <w:sz w:val="16"/>
        <w:szCs w:val="16"/>
      </w:rPr>
      <w:t>2</w:t>
    </w:r>
    <w:r w:rsidRPr="005E720A">
      <w:rPr>
        <w:rFonts w:ascii="Tahoma" w:hAnsi="Tahoma" w:cs="Tahoma"/>
        <w:noProof/>
        <w:sz w:val="16"/>
        <w:szCs w:val="16"/>
      </w:rPr>
      <w:fldChar w:fldCharType="end"/>
    </w:r>
  </w:p>
  <w:p w14:paraId="02495162" w14:textId="77777777" w:rsidR="00090912" w:rsidRPr="006F5035" w:rsidRDefault="00090912" w:rsidP="00090912">
    <w:pPr>
      <w:pStyle w:val="Encabezado"/>
      <w:rPr>
        <w:rFonts w:ascii="Tahoma" w:hAnsi="Tahoma" w:cs="Tahoma"/>
        <w:sz w:val="19"/>
        <w:szCs w:val="19"/>
      </w:rPr>
    </w:pPr>
  </w:p>
  <w:p w14:paraId="51C3C463" w14:textId="77777777" w:rsidR="00090912" w:rsidRPr="006F5035" w:rsidRDefault="00090912" w:rsidP="00090912">
    <w:pPr>
      <w:pStyle w:val="Encabezado"/>
      <w:rPr>
        <w:rFonts w:ascii="Tahoma" w:hAnsi="Tahoma" w:cs="Tahoma"/>
        <w:sz w:val="19"/>
        <w:szCs w:val="19"/>
      </w:rPr>
    </w:pPr>
  </w:p>
  <w:p w14:paraId="5E51F51D" w14:textId="77777777" w:rsidR="00090912" w:rsidRPr="006F5035" w:rsidRDefault="00090912" w:rsidP="00090912">
    <w:pPr>
      <w:pStyle w:val="Encabezado"/>
      <w:rPr>
        <w:rFonts w:ascii="Tahoma" w:hAnsi="Tahoma" w:cs="Tahoma"/>
        <w:sz w:val="19"/>
        <w:szCs w:val="19"/>
      </w:rPr>
    </w:pPr>
  </w:p>
  <w:p w14:paraId="093540A4" w14:textId="77777777" w:rsidR="00090912" w:rsidRPr="006F5035" w:rsidRDefault="00090912" w:rsidP="00090912">
    <w:pPr>
      <w:pStyle w:val="Encabezado"/>
      <w:rPr>
        <w:rFonts w:ascii="Tahoma" w:hAnsi="Tahoma" w:cs="Tahoma"/>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F3698"/>
    <w:multiLevelType w:val="multilevel"/>
    <w:tmpl w:val="C6089B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956BFB"/>
    <w:multiLevelType w:val="hybridMultilevel"/>
    <w:tmpl w:val="54D872A2"/>
    <w:lvl w:ilvl="0" w:tplc="144A9FDC">
      <w:start w:val="1"/>
      <w:numFmt w:val="lowerLetter"/>
      <w:lvlText w:val="%1."/>
      <w:lvlJc w:val="left"/>
      <w:pPr>
        <w:ind w:left="720" w:hanging="360"/>
      </w:pPr>
      <w:rPr>
        <w:rFonts w:ascii="Arial" w:eastAsia="Calibri" w:hAnsi="Arial" w:cs="Arial"/>
        <w:b/>
        <w:bC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6A40292"/>
    <w:multiLevelType w:val="hybridMultilevel"/>
    <w:tmpl w:val="FBF22DAA"/>
    <w:lvl w:ilvl="0" w:tplc="AB3E0D1A">
      <w:start w:val="1"/>
      <w:numFmt w:val="lowerLetter"/>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7B855FE"/>
    <w:multiLevelType w:val="multilevel"/>
    <w:tmpl w:val="7BB6578E"/>
    <w:lvl w:ilvl="0">
      <w:start w:val="1"/>
      <w:numFmt w:val="lowerLetter"/>
      <w:lvlText w:val="%1."/>
      <w:lvlJc w:val="left"/>
      <w:pPr>
        <w:ind w:left="840" w:hanging="840"/>
      </w:pPr>
      <w:rPr>
        <w:rFonts w:ascii="Arial" w:eastAsia="Calibri" w:hAnsi="Arial" w:cs="Arial"/>
        <w:b/>
        <w:bCs/>
      </w:rPr>
    </w:lvl>
    <w:lvl w:ilvl="1">
      <w:start w:val="7"/>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3"/>
      <w:numFmt w:val="bullet"/>
      <w:lvlText w:val="-"/>
      <w:lvlJc w:val="left"/>
      <w:pPr>
        <w:ind w:left="1080" w:hanging="1080"/>
      </w:pPr>
      <w:rPr>
        <w:rFonts w:ascii="Calibri" w:eastAsia="Calibri" w:hAnsi="Calibri" w:cs="Calibri" w:hint="default"/>
        <w:b/>
        <w:b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AE3FCE"/>
    <w:multiLevelType w:val="hybridMultilevel"/>
    <w:tmpl w:val="F4FABE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F1D085A"/>
    <w:multiLevelType w:val="hybridMultilevel"/>
    <w:tmpl w:val="EFA8819A"/>
    <w:lvl w:ilvl="0" w:tplc="C928B5A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E407C2D"/>
    <w:multiLevelType w:val="hybridMultilevel"/>
    <w:tmpl w:val="59BA95A4"/>
    <w:lvl w:ilvl="0" w:tplc="2702FCF4">
      <w:start w:val="1"/>
      <w:numFmt w:val="lowerLetter"/>
      <w:lvlText w:val="%1."/>
      <w:lvlJc w:val="left"/>
      <w:pPr>
        <w:ind w:left="720" w:hanging="360"/>
      </w:pPr>
      <w:rPr>
        <w:rFonts w:ascii="Arial" w:eastAsia="Calibri" w:hAnsi="Arial" w:cs="Arial"/>
        <w:b/>
        <w:bC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A482B8B"/>
    <w:multiLevelType w:val="hybridMultilevel"/>
    <w:tmpl w:val="4008D9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1300348">
    <w:abstractNumId w:val="4"/>
  </w:num>
  <w:num w:numId="2" w16cid:durableId="1006202643">
    <w:abstractNumId w:val="7"/>
  </w:num>
  <w:num w:numId="3" w16cid:durableId="1718041260">
    <w:abstractNumId w:val="3"/>
  </w:num>
  <w:num w:numId="4" w16cid:durableId="2122727297">
    <w:abstractNumId w:val="6"/>
  </w:num>
  <w:num w:numId="5" w16cid:durableId="296644381">
    <w:abstractNumId w:val="1"/>
  </w:num>
  <w:num w:numId="6" w16cid:durableId="1044673004">
    <w:abstractNumId w:val="0"/>
  </w:num>
  <w:num w:numId="7" w16cid:durableId="1347554660">
    <w:abstractNumId w:val="2"/>
  </w:num>
  <w:num w:numId="8" w16cid:durableId="13746946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47E"/>
    <w:rsid w:val="00000B0E"/>
    <w:rsid w:val="00000D02"/>
    <w:rsid w:val="00000E4E"/>
    <w:rsid w:val="00001179"/>
    <w:rsid w:val="000016CA"/>
    <w:rsid w:val="0000176B"/>
    <w:rsid w:val="00001A72"/>
    <w:rsid w:val="00002DA4"/>
    <w:rsid w:val="00004182"/>
    <w:rsid w:val="00004944"/>
    <w:rsid w:val="000053CF"/>
    <w:rsid w:val="00006351"/>
    <w:rsid w:val="00006707"/>
    <w:rsid w:val="00006CEC"/>
    <w:rsid w:val="00011A44"/>
    <w:rsid w:val="00012184"/>
    <w:rsid w:val="000123C9"/>
    <w:rsid w:val="00013557"/>
    <w:rsid w:val="00014140"/>
    <w:rsid w:val="000153D3"/>
    <w:rsid w:val="00016165"/>
    <w:rsid w:val="0001659F"/>
    <w:rsid w:val="00016690"/>
    <w:rsid w:val="000166FB"/>
    <w:rsid w:val="00016F00"/>
    <w:rsid w:val="00017C43"/>
    <w:rsid w:val="00017C8E"/>
    <w:rsid w:val="0002213F"/>
    <w:rsid w:val="0002329C"/>
    <w:rsid w:val="0002365B"/>
    <w:rsid w:val="00023D68"/>
    <w:rsid w:val="00024A87"/>
    <w:rsid w:val="00027385"/>
    <w:rsid w:val="00027D27"/>
    <w:rsid w:val="000304D9"/>
    <w:rsid w:val="00030591"/>
    <w:rsid w:val="000311DA"/>
    <w:rsid w:val="000312D0"/>
    <w:rsid w:val="000316FE"/>
    <w:rsid w:val="00031E5A"/>
    <w:rsid w:val="0003216E"/>
    <w:rsid w:val="00032529"/>
    <w:rsid w:val="00032FE9"/>
    <w:rsid w:val="000331D5"/>
    <w:rsid w:val="00034BCB"/>
    <w:rsid w:val="00034FD6"/>
    <w:rsid w:val="00035616"/>
    <w:rsid w:val="00035EF4"/>
    <w:rsid w:val="00036B54"/>
    <w:rsid w:val="000373E8"/>
    <w:rsid w:val="000373F1"/>
    <w:rsid w:val="0003781A"/>
    <w:rsid w:val="00037B1F"/>
    <w:rsid w:val="00041437"/>
    <w:rsid w:val="00041DB5"/>
    <w:rsid w:val="00042296"/>
    <w:rsid w:val="0004356F"/>
    <w:rsid w:val="00043E3B"/>
    <w:rsid w:val="00044503"/>
    <w:rsid w:val="0004516B"/>
    <w:rsid w:val="000460CA"/>
    <w:rsid w:val="000476E1"/>
    <w:rsid w:val="000479C5"/>
    <w:rsid w:val="00047F04"/>
    <w:rsid w:val="00052128"/>
    <w:rsid w:val="000528C9"/>
    <w:rsid w:val="00054716"/>
    <w:rsid w:val="00054738"/>
    <w:rsid w:val="00055D39"/>
    <w:rsid w:val="0005601A"/>
    <w:rsid w:val="0005665D"/>
    <w:rsid w:val="00056B69"/>
    <w:rsid w:val="00056DF7"/>
    <w:rsid w:val="00057E04"/>
    <w:rsid w:val="00061A5E"/>
    <w:rsid w:val="00061BC1"/>
    <w:rsid w:val="0006226F"/>
    <w:rsid w:val="00063708"/>
    <w:rsid w:val="00063B1A"/>
    <w:rsid w:val="0006437E"/>
    <w:rsid w:val="00064957"/>
    <w:rsid w:val="0006499D"/>
    <w:rsid w:val="00064A2D"/>
    <w:rsid w:val="00064D85"/>
    <w:rsid w:val="000705D7"/>
    <w:rsid w:val="00071D13"/>
    <w:rsid w:val="00074E4B"/>
    <w:rsid w:val="00075D61"/>
    <w:rsid w:val="000764D9"/>
    <w:rsid w:val="00080D93"/>
    <w:rsid w:val="00081220"/>
    <w:rsid w:val="00081AEA"/>
    <w:rsid w:val="00081C7B"/>
    <w:rsid w:val="000829F9"/>
    <w:rsid w:val="00082D5D"/>
    <w:rsid w:val="00083946"/>
    <w:rsid w:val="000849AE"/>
    <w:rsid w:val="0008610B"/>
    <w:rsid w:val="00086B1D"/>
    <w:rsid w:val="00086EA2"/>
    <w:rsid w:val="0008754F"/>
    <w:rsid w:val="00090565"/>
    <w:rsid w:val="00090912"/>
    <w:rsid w:val="000911F3"/>
    <w:rsid w:val="0009201B"/>
    <w:rsid w:val="000921E7"/>
    <w:rsid w:val="00092B9C"/>
    <w:rsid w:val="00094A73"/>
    <w:rsid w:val="000969C6"/>
    <w:rsid w:val="0009787E"/>
    <w:rsid w:val="0009793C"/>
    <w:rsid w:val="000A0499"/>
    <w:rsid w:val="000A0E84"/>
    <w:rsid w:val="000A19F2"/>
    <w:rsid w:val="000A2706"/>
    <w:rsid w:val="000A30A1"/>
    <w:rsid w:val="000A39A7"/>
    <w:rsid w:val="000A42DE"/>
    <w:rsid w:val="000A4BF2"/>
    <w:rsid w:val="000A5124"/>
    <w:rsid w:val="000A5A2A"/>
    <w:rsid w:val="000A5A73"/>
    <w:rsid w:val="000A662B"/>
    <w:rsid w:val="000A6AAC"/>
    <w:rsid w:val="000A6C13"/>
    <w:rsid w:val="000A7758"/>
    <w:rsid w:val="000A7DB0"/>
    <w:rsid w:val="000B07DC"/>
    <w:rsid w:val="000B0EA9"/>
    <w:rsid w:val="000B141D"/>
    <w:rsid w:val="000B2141"/>
    <w:rsid w:val="000B35B8"/>
    <w:rsid w:val="000B3AFC"/>
    <w:rsid w:val="000B466E"/>
    <w:rsid w:val="000B4BF0"/>
    <w:rsid w:val="000B5E55"/>
    <w:rsid w:val="000B658E"/>
    <w:rsid w:val="000B67EE"/>
    <w:rsid w:val="000C0BA3"/>
    <w:rsid w:val="000C0DD6"/>
    <w:rsid w:val="000C20CE"/>
    <w:rsid w:val="000C2E23"/>
    <w:rsid w:val="000C369C"/>
    <w:rsid w:val="000C452B"/>
    <w:rsid w:val="000C4B66"/>
    <w:rsid w:val="000C5898"/>
    <w:rsid w:val="000C5B17"/>
    <w:rsid w:val="000C5D3B"/>
    <w:rsid w:val="000C6CDE"/>
    <w:rsid w:val="000C6D7A"/>
    <w:rsid w:val="000C7095"/>
    <w:rsid w:val="000D02A7"/>
    <w:rsid w:val="000D063B"/>
    <w:rsid w:val="000D10E8"/>
    <w:rsid w:val="000D138D"/>
    <w:rsid w:val="000D174B"/>
    <w:rsid w:val="000D1ED6"/>
    <w:rsid w:val="000D20B3"/>
    <w:rsid w:val="000D2589"/>
    <w:rsid w:val="000D2A47"/>
    <w:rsid w:val="000D343D"/>
    <w:rsid w:val="000D39EF"/>
    <w:rsid w:val="000D3DA9"/>
    <w:rsid w:val="000D4D74"/>
    <w:rsid w:val="000D50E6"/>
    <w:rsid w:val="000D5626"/>
    <w:rsid w:val="000D5B48"/>
    <w:rsid w:val="000D5E02"/>
    <w:rsid w:val="000D611F"/>
    <w:rsid w:val="000D7C8B"/>
    <w:rsid w:val="000E14B1"/>
    <w:rsid w:val="000E30DD"/>
    <w:rsid w:val="000E5862"/>
    <w:rsid w:val="000E5D7A"/>
    <w:rsid w:val="000E6096"/>
    <w:rsid w:val="000E6D84"/>
    <w:rsid w:val="000F0CA0"/>
    <w:rsid w:val="000F0DEE"/>
    <w:rsid w:val="000F3828"/>
    <w:rsid w:val="000F3BC8"/>
    <w:rsid w:val="000F3E99"/>
    <w:rsid w:val="000F4867"/>
    <w:rsid w:val="000F668B"/>
    <w:rsid w:val="00100488"/>
    <w:rsid w:val="0010150F"/>
    <w:rsid w:val="00102C4F"/>
    <w:rsid w:val="00103592"/>
    <w:rsid w:val="001052FF"/>
    <w:rsid w:val="0010553E"/>
    <w:rsid w:val="001059AB"/>
    <w:rsid w:val="00106664"/>
    <w:rsid w:val="00110E5F"/>
    <w:rsid w:val="00111469"/>
    <w:rsid w:val="00112F4F"/>
    <w:rsid w:val="00114234"/>
    <w:rsid w:val="00114C9C"/>
    <w:rsid w:val="0011525F"/>
    <w:rsid w:val="00115800"/>
    <w:rsid w:val="00115A72"/>
    <w:rsid w:val="00116007"/>
    <w:rsid w:val="00116647"/>
    <w:rsid w:val="0011714E"/>
    <w:rsid w:val="00117E15"/>
    <w:rsid w:val="00120304"/>
    <w:rsid w:val="00120764"/>
    <w:rsid w:val="001211D4"/>
    <w:rsid w:val="00121AFE"/>
    <w:rsid w:val="00121B81"/>
    <w:rsid w:val="00121D0A"/>
    <w:rsid w:val="0012358B"/>
    <w:rsid w:val="00123799"/>
    <w:rsid w:val="00124CC0"/>
    <w:rsid w:val="00124EF3"/>
    <w:rsid w:val="001250F2"/>
    <w:rsid w:val="0012562B"/>
    <w:rsid w:val="00125C79"/>
    <w:rsid w:val="00130033"/>
    <w:rsid w:val="00130E24"/>
    <w:rsid w:val="001311AB"/>
    <w:rsid w:val="001318C2"/>
    <w:rsid w:val="001322CF"/>
    <w:rsid w:val="0013246F"/>
    <w:rsid w:val="00132FB6"/>
    <w:rsid w:val="00135FC4"/>
    <w:rsid w:val="00136622"/>
    <w:rsid w:val="00136F82"/>
    <w:rsid w:val="001376E9"/>
    <w:rsid w:val="00137897"/>
    <w:rsid w:val="00137D1F"/>
    <w:rsid w:val="00137DAE"/>
    <w:rsid w:val="00142B63"/>
    <w:rsid w:val="001439AF"/>
    <w:rsid w:val="00144CD0"/>
    <w:rsid w:val="00145535"/>
    <w:rsid w:val="00151C69"/>
    <w:rsid w:val="00152D60"/>
    <w:rsid w:val="00153880"/>
    <w:rsid w:val="00154F96"/>
    <w:rsid w:val="0015652B"/>
    <w:rsid w:val="001566FF"/>
    <w:rsid w:val="00156B62"/>
    <w:rsid w:val="00156F14"/>
    <w:rsid w:val="001573B9"/>
    <w:rsid w:val="00160A57"/>
    <w:rsid w:val="001615C5"/>
    <w:rsid w:val="00161AC4"/>
    <w:rsid w:val="00161ED0"/>
    <w:rsid w:val="00162391"/>
    <w:rsid w:val="00164523"/>
    <w:rsid w:val="001645DE"/>
    <w:rsid w:val="0016538E"/>
    <w:rsid w:val="00165868"/>
    <w:rsid w:val="0016623B"/>
    <w:rsid w:val="001706AA"/>
    <w:rsid w:val="00171AF4"/>
    <w:rsid w:val="00172754"/>
    <w:rsid w:val="00175961"/>
    <w:rsid w:val="00175994"/>
    <w:rsid w:val="001770A5"/>
    <w:rsid w:val="00177BBB"/>
    <w:rsid w:val="00180966"/>
    <w:rsid w:val="00180E50"/>
    <w:rsid w:val="00181115"/>
    <w:rsid w:val="0018153A"/>
    <w:rsid w:val="00181674"/>
    <w:rsid w:val="00182529"/>
    <w:rsid w:val="00183032"/>
    <w:rsid w:val="0018310D"/>
    <w:rsid w:val="0018332B"/>
    <w:rsid w:val="0018519A"/>
    <w:rsid w:val="00186058"/>
    <w:rsid w:val="00186141"/>
    <w:rsid w:val="001862D1"/>
    <w:rsid w:val="00190746"/>
    <w:rsid w:val="00191C79"/>
    <w:rsid w:val="00191C9B"/>
    <w:rsid w:val="00191D9A"/>
    <w:rsid w:val="0019214B"/>
    <w:rsid w:val="001929C8"/>
    <w:rsid w:val="00193304"/>
    <w:rsid w:val="001953AC"/>
    <w:rsid w:val="001958F2"/>
    <w:rsid w:val="0019657C"/>
    <w:rsid w:val="00196931"/>
    <w:rsid w:val="001975F5"/>
    <w:rsid w:val="001A005C"/>
    <w:rsid w:val="001A0071"/>
    <w:rsid w:val="001A0AED"/>
    <w:rsid w:val="001A0E76"/>
    <w:rsid w:val="001A1D0A"/>
    <w:rsid w:val="001A3CB2"/>
    <w:rsid w:val="001A3CBE"/>
    <w:rsid w:val="001A4AB6"/>
    <w:rsid w:val="001A52AF"/>
    <w:rsid w:val="001A6188"/>
    <w:rsid w:val="001A74CC"/>
    <w:rsid w:val="001A7F96"/>
    <w:rsid w:val="001B078B"/>
    <w:rsid w:val="001B0CBF"/>
    <w:rsid w:val="001B1303"/>
    <w:rsid w:val="001B1B60"/>
    <w:rsid w:val="001B290B"/>
    <w:rsid w:val="001B466D"/>
    <w:rsid w:val="001B4743"/>
    <w:rsid w:val="001B5647"/>
    <w:rsid w:val="001B6B74"/>
    <w:rsid w:val="001B7223"/>
    <w:rsid w:val="001C0EAD"/>
    <w:rsid w:val="001C0EDB"/>
    <w:rsid w:val="001C12A0"/>
    <w:rsid w:val="001C1478"/>
    <w:rsid w:val="001C1F50"/>
    <w:rsid w:val="001C2719"/>
    <w:rsid w:val="001C31EF"/>
    <w:rsid w:val="001C3663"/>
    <w:rsid w:val="001C36C5"/>
    <w:rsid w:val="001C3E36"/>
    <w:rsid w:val="001C58C1"/>
    <w:rsid w:val="001C6CF3"/>
    <w:rsid w:val="001C7762"/>
    <w:rsid w:val="001C78D2"/>
    <w:rsid w:val="001C79B2"/>
    <w:rsid w:val="001D03C4"/>
    <w:rsid w:val="001D074F"/>
    <w:rsid w:val="001D0822"/>
    <w:rsid w:val="001D0C24"/>
    <w:rsid w:val="001D1B05"/>
    <w:rsid w:val="001D1D7C"/>
    <w:rsid w:val="001D2222"/>
    <w:rsid w:val="001D27ED"/>
    <w:rsid w:val="001D56ED"/>
    <w:rsid w:val="001D60B2"/>
    <w:rsid w:val="001D64A4"/>
    <w:rsid w:val="001D68B5"/>
    <w:rsid w:val="001D7D23"/>
    <w:rsid w:val="001D7F67"/>
    <w:rsid w:val="001E14F5"/>
    <w:rsid w:val="001E28B4"/>
    <w:rsid w:val="001E2F88"/>
    <w:rsid w:val="001E348E"/>
    <w:rsid w:val="001E3F3A"/>
    <w:rsid w:val="001E4E2C"/>
    <w:rsid w:val="001E4E7E"/>
    <w:rsid w:val="001E59D1"/>
    <w:rsid w:val="001E68EC"/>
    <w:rsid w:val="001E75FC"/>
    <w:rsid w:val="001F0646"/>
    <w:rsid w:val="001F067B"/>
    <w:rsid w:val="001F22EC"/>
    <w:rsid w:val="001F2E84"/>
    <w:rsid w:val="001F2F67"/>
    <w:rsid w:val="001F3054"/>
    <w:rsid w:val="001F32F6"/>
    <w:rsid w:val="001F38BD"/>
    <w:rsid w:val="001F4135"/>
    <w:rsid w:val="001F4488"/>
    <w:rsid w:val="001F66CC"/>
    <w:rsid w:val="00200379"/>
    <w:rsid w:val="0020070B"/>
    <w:rsid w:val="00200EA9"/>
    <w:rsid w:val="00202799"/>
    <w:rsid w:val="00203B54"/>
    <w:rsid w:val="002051E3"/>
    <w:rsid w:val="00205FAA"/>
    <w:rsid w:val="002065EB"/>
    <w:rsid w:val="0020668C"/>
    <w:rsid w:val="00206697"/>
    <w:rsid w:val="00206780"/>
    <w:rsid w:val="00206F4F"/>
    <w:rsid w:val="00207746"/>
    <w:rsid w:val="00207881"/>
    <w:rsid w:val="002118F9"/>
    <w:rsid w:val="00211EEA"/>
    <w:rsid w:val="002125F5"/>
    <w:rsid w:val="00214CA7"/>
    <w:rsid w:val="0021720E"/>
    <w:rsid w:val="0021792F"/>
    <w:rsid w:val="00220C7B"/>
    <w:rsid w:val="00221752"/>
    <w:rsid w:val="0022178B"/>
    <w:rsid w:val="002222C5"/>
    <w:rsid w:val="00222566"/>
    <w:rsid w:val="002226AB"/>
    <w:rsid w:val="0022281C"/>
    <w:rsid w:val="00222B09"/>
    <w:rsid w:val="00223719"/>
    <w:rsid w:val="00225577"/>
    <w:rsid w:val="00226959"/>
    <w:rsid w:val="002304C7"/>
    <w:rsid w:val="00230F3E"/>
    <w:rsid w:val="00231EC6"/>
    <w:rsid w:val="00232A55"/>
    <w:rsid w:val="00233033"/>
    <w:rsid w:val="002346B6"/>
    <w:rsid w:val="00234BFF"/>
    <w:rsid w:val="00235444"/>
    <w:rsid w:val="00236551"/>
    <w:rsid w:val="002366A0"/>
    <w:rsid w:val="002372FD"/>
    <w:rsid w:val="002405D9"/>
    <w:rsid w:val="00240CA9"/>
    <w:rsid w:val="0024119B"/>
    <w:rsid w:val="00241CCA"/>
    <w:rsid w:val="002424C0"/>
    <w:rsid w:val="002429F7"/>
    <w:rsid w:val="00242C22"/>
    <w:rsid w:val="00242F51"/>
    <w:rsid w:val="00243B3D"/>
    <w:rsid w:val="00243BEA"/>
    <w:rsid w:val="00243ECB"/>
    <w:rsid w:val="002462A9"/>
    <w:rsid w:val="00246A45"/>
    <w:rsid w:val="00246BE3"/>
    <w:rsid w:val="00246CC4"/>
    <w:rsid w:val="002504EE"/>
    <w:rsid w:val="002508CA"/>
    <w:rsid w:val="00250AEC"/>
    <w:rsid w:val="00251494"/>
    <w:rsid w:val="002529D7"/>
    <w:rsid w:val="00253325"/>
    <w:rsid w:val="002566BC"/>
    <w:rsid w:val="00256EE2"/>
    <w:rsid w:val="0026068D"/>
    <w:rsid w:val="002618D7"/>
    <w:rsid w:val="00261933"/>
    <w:rsid w:val="00261F10"/>
    <w:rsid w:val="0026204B"/>
    <w:rsid w:val="00262689"/>
    <w:rsid w:val="0026588E"/>
    <w:rsid w:val="00265CA4"/>
    <w:rsid w:val="00267EC1"/>
    <w:rsid w:val="0027149B"/>
    <w:rsid w:val="00271F5F"/>
    <w:rsid w:val="00273A70"/>
    <w:rsid w:val="00273B8E"/>
    <w:rsid w:val="00273C68"/>
    <w:rsid w:val="00277656"/>
    <w:rsid w:val="00280F72"/>
    <w:rsid w:val="00281958"/>
    <w:rsid w:val="00282412"/>
    <w:rsid w:val="00282B3A"/>
    <w:rsid w:val="002835DE"/>
    <w:rsid w:val="00283E4E"/>
    <w:rsid w:val="0028424B"/>
    <w:rsid w:val="00284D67"/>
    <w:rsid w:val="002850CD"/>
    <w:rsid w:val="00286170"/>
    <w:rsid w:val="002879B1"/>
    <w:rsid w:val="0029040F"/>
    <w:rsid w:val="00290EFA"/>
    <w:rsid w:val="00291F3D"/>
    <w:rsid w:val="002921E9"/>
    <w:rsid w:val="00292729"/>
    <w:rsid w:val="00292F58"/>
    <w:rsid w:val="00295666"/>
    <w:rsid w:val="00296581"/>
    <w:rsid w:val="00296F08"/>
    <w:rsid w:val="002971EA"/>
    <w:rsid w:val="00297BBB"/>
    <w:rsid w:val="002A2166"/>
    <w:rsid w:val="002A3AE3"/>
    <w:rsid w:val="002A3E9F"/>
    <w:rsid w:val="002A48A8"/>
    <w:rsid w:val="002A5527"/>
    <w:rsid w:val="002A5E95"/>
    <w:rsid w:val="002B3D6C"/>
    <w:rsid w:val="002B658F"/>
    <w:rsid w:val="002B7665"/>
    <w:rsid w:val="002C1B3D"/>
    <w:rsid w:val="002C3224"/>
    <w:rsid w:val="002C360F"/>
    <w:rsid w:val="002C3B89"/>
    <w:rsid w:val="002C3EFC"/>
    <w:rsid w:val="002C470A"/>
    <w:rsid w:val="002C4845"/>
    <w:rsid w:val="002C56B1"/>
    <w:rsid w:val="002C5B45"/>
    <w:rsid w:val="002C6127"/>
    <w:rsid w:val="002C65B7"/>
    <w:rsid w:val="002C692C"/>
    <w:rsid w:val="002C6B5A"/>
    <w:rsid w:val="002C7DFE"/>
    <w:rsid w:val="002C7DFF"/>
    <w:rsid w:val="002C7E15"/>
    <w:rsid w:val="002D0232"/>
    <w:rsid w:val="002D2DE9"/>
    <w:rsid w:val="002D3850"/>
    <w:rsid w:val="002D3D6B"/>
    <w:rsid w:val="002D5467"/>
    <w:rsid w:val="002D5A0C"/>
    <w:rsid w:val="002D5C01"/>
    <w:rsid w:val="002D5F4E"/>
    <w:rsid w:val="002D69E5"/>
    <w:rsid w:val="002D6EC5"/>
    <w:rsid w:val="002E17D2"/>
    <w:rsid w:val="002E223F"/>
    <w:rsid w:val="002E2F5B"/>
    <w:rsid w:val="002E3445"/>
    <w:rsid w:val="002E36FD"/>
    <w:rsid w:val="002E57A7"/>
    <w:rsid w:val="002E6C11"/>
    <w:rsid w:val="002E737C"/>
    <w:rsid w:val="002E77F9"/>
    <w:rsid w:val="002E7E1B"/>
    <w:rsid w:val="002F1658"/>
    <w:rsid w:val="002F1A23"/>
    <w:rsid w:val="002F1C8D"/>
    <w:rsid w:val="002F2E9F"/>
    <w:rsid w:val="002F358E"/>
    <w:rsid w:val="002F447E"/>
    <w:rsid w:val="002F52AA"/>
    <w:rsid w:val="002F54A8"/>
    <w:rsid w:val="002F57B7"/>
    <w:rsid w:val="002F5974"/>
    <w:rsid w:val="002F5AB8"/>
    <w:rsid w:val="002F62DD"/>
    <w:rsid w:val="002F71F5"/>
    <w:rsid w:val="002F7F93"/>
    <w:rsid w:val="0030037F"/>
    <w:rsid w:val="00302129"/>
    <w:rsid w:val="00302D72"/>
    <w:rsid w:val="003059F2"/>
    <w:rsid w:val="00305A27"/>
    <w:rsid w:val="003062CB"/>
    <w:rsid w:val="0030669A"/>
    <w:rsid w:val="003068EF"/>
    <w:rsid w:val="00307061"/>
    <w:rsid w:val="00310815"/>
    <w:rsid w:val="00311430"/>
    <w:rsid w:val="00313422"/>
    <w:rsid w:val="0031366A"/>
    <w:rsid w:val="00313D24"/>
    <w:rsid w:val="0031477F"/>
    <w:rsid w:val="00314F97"/>
    <w:rsid w:val="00315890"/>
    <w:rsid w:val="00315D53"/>
    <w:rsid w:val="003166DC"/>
    <w:rsid w:val="00316704"/>
    <w:rsid w:val="00316DE2"/>
    <w:rsid w:val="003170DE"/>
    <w:rsid w:val="00317593"/>
    <w:rsid w:val="00317887"/>
    <w:rsid w:val="0032074A"/>
    <w:rsid w:val="00320E8A"/>
    <w:rsid w:val="003213F4"/>
    <w:rsid w:val="00321F84"/>
    <w:rsid w:val="00322704"/>
    <w:rsid w:val="003237DC"/>
    <w:rsid w:val="00324849"/>
    <w:rsid w:val="00324A2F"/>
    <w:rsid w:val="0032556D"/>
    <w:rsid w:val="00325DBA"/>
    <w:rsid w:val="00326445"/>
    <w:rsid w:val="003270B3"/>
    <w:rsid w:val="00327275"/>
    <w:rsid w:val="003279A5"/>
    <w:rsid w:val="003300B5"/>
    <w:rsid w:val="0033020D"/>
    <w:rsid w:val="00330F3E"/>
    <w:rsid w:val="00332550"/>
    <w:rsid w:val="00332F09"/>
    <w:rsid w:val="00332FE2"/>
    <w:rsid w:val="0033530E"/>
    <w:rsid w:val="0033601A"/>
    <w:rsid w:val="003365E0"/>
    <w:rsid w:val="00336FFD"/>
    <w:rsid w:val="00337384"/>
    <w:rsid w:val="00337389"/>
    <w:rsid w:val="00337BC4"/>
    <w:rsid w:val="003403C7"/>
    <w:rsid w:val="00340F24"/>
    <w:rsid w:val="00341E20"/>
    <w:rsid w:val="00342230"/>
    <w:rsid w:val="00342DD5"/>
    <w:rsid w:val="0034325C"/>
    <w:rsid w:val="003438D4"/>
    <w:rsid w:val="00343BCA"/>
    <w:rsid w:val="00344404"/>
    <w:rsid w:val="0034486C"/>
    <w:rsid w:val="00344B5C"/>
    <w:rsid w:val="00345E8C"/>
    <w:rsid w:val="00345F2A"/>
    <w:rsid w:val="0034631A"/>
    <w:rsid w:val="00346DD5"/>
    <w:rsid w:val="00347161"/>
    <w:rsid w:val="00347DE8"/>
    <w:rsid w:val="003516EB"/>
    <w:rsid w:val="00351AAF"/>
    <w:rsid w:val="00351AFE"/>
    <w:rsid w:val="0035218B"/>
    <w:rsid w:val="00352836"/>
    <w:rsid w:val="0035287A"/>
    <w:rsid w:val="00353150"/>
    <w:rsid w:val="003549AE"/>
    <w:rsid w:val="00354A1B"/>
    <w:rsid w:val="00356977"/>
    <w:rsid w:val="00357D64"/>
    <w:rsid w:val="003605A1"/>
    <w:rsid w:val="0036086D"/>
    <w:rsid w:val="00360933"/>
    <w:rsid w:val="00361AA1"/>
    <w:rsid w:val="003647CB"/>
    <w:rsid w:val="00365BC5"/>
    <w:rsid w:val="0036707B"/>
    <w:rsid w:val="00367A05"/>
    <w:rsid w:val="00370B0E"/>
    <w:rsid w:val="00372E98"/>
    <w:rsid w:val="00375343"/>
    <w:rsid w:val="0037581B"/>
    <w:rsid w:val="00375841"/>
    <w:rsid w:val="00375BA2"/>
    <w:rsid w:val="00375F09"/>
    <w:rsid w:val="003762FE"/>
    <w:rsid w:val="00376B54"/>
    <w:rsid w:val="00377695"/>
    <w:rsid w:val="003809B5"/>
    <w:rsid w:val="00380ED4"/>
    <w:rsid w:val="00381A95"/>
    <w:rsid w:val="00382BA8"/>
    <w:rsid w:val="00383CEA"/>
    <w:rsid w:val="0038412F"/>
    <w:rsid w:val="00384635"/>
    <w:rsid w:val="003867C6"/>
    <w:rsid w:val="0039181C"/>
    <w:rsid w:val="0039500B"/>
    <w:rsid w:val="0039525E"/>
    <w:rsid w:val="00395590"/>
    <w:rsid w:val="003965FF"/>
    <w:rsid w:val="00396D07"/>
    <w:rsid w:val="0039750B"/>
    <w:rsid w:val="003A0789"/>
    <w:rsid w:val="003A11F4"/>
    <w:rsid w:val="003A1467"/>
    <w:rsid w:val="003A1751"/>
    <w:rsid w:val="003A21A4"/>
    <w:rsid w:val="003A2B84"/>
    <w:rsid w:val="003A31E7"/>
    <w:rsid w:val="003A3CE1"/>
    <w:rsid w:val="003A5808"/>
    <w:rsid w:val="003B1789"/>
    <w:rsid w:val="003B2406"/>
    <w:rsid w:val="003B2630"/>
    <w:rsid w:val="003B3650"/>
    <w:rsid w:val="003B4490"/>
    <w:rsid w:val="003B6033"/>
    <w:rsid w:val="003C0406"/>
    <w:rsid w:val="003C0430"/>
    <w:rsid w:val="003C0B08"/>
    <w:rsid w:val="003C321D"/>
    <w:rsid w:val="003C4337"/>
    <w:rsid w:val="003C5630"/>
    <w:rsid w:val="003C5A3D"/>
    <w:rsid w:val="003C717E"/>
    <w:rsid w:val="003C7279"/>
    <w:rsid w:val="003C7EA1"/>
    <w:rsid w:val="003D1132"/>
    <w:rsid w:val="003D189D"/>
    <w:rsid w:val="003D280F"/>
    <w:rsid w:val="003D2B5E"/>
    <w:rsid w:val="003D3840"/>
    <w:rsid w:val="003D4D1B"/>
    <w:rsid w:val="003D4EE2"/>
    <w:rsid w:val="003D773F"/>
    <w:rsid w:val="003D7930"/>
    <w:rsid w:val="003D7CFB"/>
    <w:rsid w:val="003D7F55"/>
    <w:rsid w:val="003E0267"/>
    <w:rsid w:val="003E182F"/>
    <w:rsid w:val="003E1C9D"/>
    <w:rsid w:val="003E1D7A"/>
    <w:rsid w:val="003E536C"/>
    <w:rsid w:val="003E538C"/>
    <w:rsid w:val="003E5A14"/>
    <w:rsid w:val="003E5D07"/>
    <w:rsid w:val="003E7747"/>
    <w:rsid w:val="003F0289"/>
    <w:rsid w:val="003F02F0"/>
    <w:rsid w:val="003F257A"/>
    <w:rsid w:val="003F3691"/>
    <w:rsid w:val="003F488B"/>
    <w:rsid w:val="003F5895"/>
    <w:rsid w:val="003F5B41"/>
    <w:rsid w:val="003F5D8F"/>
    <w:rsid w:val="003F6045"/>
    <w:rsid w:val="003F6A1F"/>
    <w:rsid w:val="003F6B52"/>
    <w:rsid w:val="003F6E0D"/>
    <w:rsid w:val="00400025"/>
    <w:rsid w:val="004003C3"/>
    <w:rsid w:val="00400BAE"/>
    <w:rsid w:val="00401016"/>
    <w:rsid w:val="004026E1"/>
    <w:rsid w:val="00402824"/>
    <w:rsid w:val="0040287E"/>
    <w:rsid w:val="00402AEB"/>
    <w:rsid w:val="00402B5D"/>
    <w:rsid w:val="00403888"/>
    <w:rsid w:val="004041AE"/>
    <w:rsid w:val="00404246"/>
    <w:rsid w:val="004046EF"/>
    <w:rsid w:val="004047A8"/>
    <w:rsid w:val="00404F71"/>
    <w:rsid w:val="00404FBF"/>
    <w:rsid w:val="00404FE7"/>
    <w:rsid w:val="00405085"/>
    <w:rsid w:val="00405A85"/>
    <w:rsid w:val="00405F06"/>
    <w:rsid w:val="004069A3"/>
    <w:rsid w:val="00406AB7"/>
    <w:rsid w:val="004074F4"/>
    <w:rsid w:val="0040784B"/>
    <w:rsid w:val="00407FCD"/>
    <w:rsid w:val="00411290"/>
    <w:rsid w:val="0041213E"/>
    <w:rsid w:val="0041270D"/>
    <w:rsid w:val="00413C6E"/>
    <w:rsid w:val="00414445"/>
    <w:rsid w:val="00414643"/>
    <w:rsid w:val="00415ACD"/>
    <w:rsid w:val="00415E41"/>
    <w:rsid w:val="00416C37"/>
    <w:rsid w:val="00417ACA"/>
    <w:rsid w:val="004222C9"/>
    <w:rsid w:val="0042256B"/>
    <w:rsid w:val="004238A8"/>
    <w:rsid w:val="004270B5"/>
    <w:rsid w:val="004275EB"/>
    <w:rsid w:val="00427ED0"/>
    <w:rsid w:val="004301EC"/>
    <w:rsid w:val="00430C3A"/>
    <w:rsid w:val="004320D5"/>
    <w:rsid w:val="00432CE0"/>
    <w:rsid w:val="00433ED7"/>
    <w:rsid w:val="00434932"/>
    <w:rsid w:val="00435AD4"/>
    <w:rsid w:val="00436493"/>
    <w:rsid w:val="00440BDD"/>
    <w:rsid w:val="0044208A"/>
    <w:rsid w:val="0044274E"/>
    <w:rsid w:val="0044297D"/>
    <w:rsid w:val="00444625"/>
    <w:rsid w:val="00445CD7"/>
    <w:rsid w:val="0044685C"/>
    <w:rsid w:val="00446BC6"/>
    <w:rsid w:val="00447F9E"/>
    <w:rsid w:val="004506A4"/>
    <w:rsid w:val="00451FAA"/>
    <w:rsid w:val="004521BF"/>
    <w:rsid w:val="00454313"/>
    <w:rsid w:val="0045434B"/>
    <w:rsid w:val="00455396"/>
    <w:rsid w:val="0045620E"/>
    <w:rsid w:val="004569ED"/>
    <w:rsid w:val="0045791E"/>
    <w:rsid w:val="00460EFD"/>
    <w:rsid w:val="004615BE"/>
    <w:rsid w:val="0046162B"/>
    <w:rsid w:val="00461F9B"/>
    <w:rsid w:val="00462AE5"/>
    <w:rsid w:val="00464F57"/>
    <w:rsid w:val="00465B2C"/>
    <w:rsid w:val="00465FF5"/>
    <w:rsid w:val="004679B4"/>
    <w:rsid w:val="00470336"/>
    <w:rsid w:val="00472123"/>
    <w:rsid w:val="00472332"/>
    <w:rsid w:val="004728FC"/>
    <w:rsid w:val="00472E31"/>
    <w:rsid w:val="00476387"/>
    <w:rsid w:val="004764C3"/>
    <w:rsid w:val="004777B6"/>
    <w:rsid w:val="0048036B"/>
    <w:rsid w:val="00480972"/>
    <w:rsid w:val="00480B7F"/>
    <w:rsid w:val="004855A6"/>
    <w:rsid w:val="004859AE"/>
    <w:rsid w:val="004859F6"/>
    <w:rsid w:val="004864E7"/>
    <w:rsid w:val="00486C9A"/>
    <w:rsid w:val="00487068"/>
    <w:rsid w:val="00487456"/>
    <w:rsid w:val="00487719"/>
    <w:rsid w:val="004900D4"/>
    <w:rsid w:val="00490C81"/>
    <w:rsid w:val="0049182A"/>
    <w:rsid w:val="004921AE"/>
    <w:rsid w:val="004924C3"/>
    <w:rsid w:val="00493979"/>
    <w:rsid w:val="00493EC8"/>
    <w:rsid w:val="00494756"/>
    <w:rsid w:val="00494ECC"/>
    <w:rsid w:val="004959C3"/>
    <w:rsid w:val="0049759D"/>
    <w:rsid w:val="0049777C"/>
    <w:rsid w:val="00497810"/>
    <w:rsid w:val="004A1B49"/>
    <w:rsid w:val="004A3B84"/>
    <w:rsid w:val="004A49B9"/>
    <w:rsid w:val="004A6BFD"/>
    <w:rsid w:val="004A6C8B"/>
    <w:rsid w:val="004A7409"/>
    <w:rsid w:val="004B0235"/>
    <w:rsid w:val="004B0DD2"/>
    <w:rsid w:val="004B0FAD"/>
    <w:rsid w:val="004B159F"/>
    <w:rsid w:val="004B1A6D"/>
    <w:rsid w:val="004B22B7"/>
    <w:rsid w:val="004B279C"/>
    <w:rsid w:val="004B335B"/>
    <w:rsid w:val="004B3D54"/>
    <w:rsid w:val="004B469D"/>
    <w:rsid w:val="004B5185"/>
    <w:rsid w:val="004B5353"/>
    <w:rsid w:val="004B578E"/>
    <w:rsid w:val="004B6773"/>
    <w:rsid w:val="004B7502"/>
    <w:rsid w:val="004C11F4"/>
    <w:rsid w:val="004C1728"/>
    <w:rsid w:val="004C1E08"/>
    <w:rsid w:val="004C2967"/>
    <w:rsid w:val="004C4713"/>
    <w:rsid w:val="004C4F0F"/>
    <w:rsid w:val="004C5A4F"/>
    <w:rsid w:val="004C6550"/>
    <w:rsid w:val="004C6676"/>
    <w:rsid w:val="004C6CBA"/>
    <w:rsid w:val="004C78DF"/>
    <w:rsid w:val="004D0579"/>
    <w:rsid w:val="004D10D1"/>
    <w:rsid w:val="004D5700"/>
    <w:rsid w:val="004D5EF1"/>
    <w:rsid w:val="004D6B9C"/>
    <w:rsid w:val="004E0370"/>
    <w:rsid w:val="004E0819"/>
    <w:rsid w:val="004E134A"/>
    <w:rsid w:val="004E1C83"/>
    <w:rsid w:val="004E1CFE"/>
    <w:rsid w:val="004E3405"/>
    <w:rsid w:val="004E49D9"/>
    <w:rsid w:val="004E4C1B"/>
    <w:rsid w:val="004E582F"/>
    <w:rsid w:val="004E6DE0"/>
    <w:rsid w:val="004F20BF"/>
    <w:rsid w:val="004F4324"/>
    <w:rsid w:val="004F49BA"/>
    <w:rsid w:val="004F519B"/>
    <w:rsid w:val="004F5376"/>
    <w:rsid w:val="004F59D8"/>
    <w:rsid w:val="004F5B6D"/>
    <w:rsid w:val="004F5C6E"/>
    <w:rsid w:val="004F6A4F"/>
    <w:rsid w:val="004F709C"/>
    <w:rsid w:val="004F7501"/>
    <w:rsid w:val="004F7575"/>
    <w:rsid w:val="004F79EF"/>
    <w:rsid w:val="004F7EB8"/>
    <w:rsid w:val="0050016D"/>
    <w:rsid w:val="00500AAF"/>
    <w:rsid w:val="00500B63"/>
    <w:rsid w:val="00500DDB"/>
    <w:rsid w:val="005014D0"/>
    <w:rsid w:val="0050175E"/>
    <w:rsid w:val="005024BF"/>
    <w:rsid w:val="005024D4"/>
    <w:rsid w:val="0050395D"/>
    <w:rsid w:val="00505F43"/>
    <w:rsid w:val="005061B4"/>
    <w:rsid w:val="00506F37"/>
    <w:rsid w:val="005075DA"/>
    <w:rsid w:val="00507F59"/>
    <w:rsid w:val="005119DE"/>
    <w:rsid w:val="00512B0C"/>
    <w:rsid w:val="00513633"/>
    <w:rsid w:val="005138B5"/>
    <w:rsid w:val="00514292"/>
    <w:rsid w:val="00514493"/>
    <w:rsid w:val="00514FD1"/>
    <w:rsid w:val="00515083"/>
    <w:rsid w:val="005152EB"/>
    <w:rsid w:val="005153A3"/>
    <w:rsid w:val="0051660D"/>
    <w:rsid w:val="005170C0"/>
    <w:rsid w:val="00520387"/>
    <w:rsid w:val="005209E3"/>
    <w:rsid w:val="00522686"/>
    <w:rsid w:val="00522CF8"/>
    <w:rsid w:val="00523840"/>
    <w:rsid w:val="00523DD9"/>
    <w:rsid w:val="00524280"/>
    <w:rsid w:val="00524971"/>
    <w:rsid w:val="005257F6"/>
    <w:rsid w:val="005261BD"/>
    <w:rsid w:val="0052657E"/>
    <w:rsid w:val="005272AA"/>
    <w:rsid w:val="00527CA1"/>
    <w:rsid w:val="0053036D"/>
    <w:rsid w:val="005310B8"/>
    <w:rsid w:val="00533F0A"/>
    <w:rsid w:val="0053631E"/>
    <w:rsid w:val="0053670E"/>
    <w:rsid w:val="00536A54"/>
    <w:rsid w:val="0053752F"/>
    <w:rsid w:val="00537E40"/>
    <w:rsid w:val="0054040B"/>
    <w:rsid w:val="005407A8"/>
    <w:rsid w:val="00540FFB"/>
    <w:rsid w:val="00544EE2"/>
    <w:rsid w:val="005472CE"/>
    <w:rsid w:val="0055026F"/>
    <w:rsid w:val="0055036A"/>
    <w:rsid w:val="00550611"/>
    <w:rsid w:val="005506AC"/>
    <w:rsid w:val="00550885"/>
    <w:rsid w:val="005532A5"/>
    <w:rsid w:val="00555844"/>
    <w:rsid w:val="0055689E"/>
    <w:rsid w:val="00556F2B"/>
    <w:rsid w:val="00557AEA"/>
    <w:rsid w:val="00560740"/>
    <w:rsid w:val="005623C9"/>
    <w:rsid w:val="0056333A"/>
    <w:rsid w:val="005633F4"/>
    <w:rsid w:val="005637BA"/>
    <w:rsid w:val="00565F4B"/>
    <w:rsid w:val="00566E4A"/>
    <w:rsid w:val="00566FB2"/>
    <w:rsid w:val="00567C52"/>
    <w:rsid w:val="00567CB0"/>
    <w:rsid w:val="00571007"/>
    <w:rsid w:val="005715D9"/>
    <w:rsid w:val="00571691"/>
    <w:rsid w:val="00572C03"/>
    <w:rsid w:val="00572F94"/>
    <w:rsid w:val="00573C57"/>
    <w:rsid w:val="00575669"/>
    <w:rsid w:val="0057669B"/>
    <w:rsid w:val="0057676F"/>
    <w:rsid w:val="0057728B"/>
    <w:rsid w:val="00580DFA"/>
    <w:rsid w:val="00581399"/>
    <w:rsid w:val="00583E7D"/>
    <w:rsid w:val="0058400D"/>
    <w:rsid w:val="00585155"/>
    <w:rsid w:val="00585309"/>
    <w:rsid w:val="00585E13"/>
    <w:rsid w:val="005876B7"/>
    <w:rsid w:val="0059036F"/>
    <w:rsid w:val="0059124A"/>
    <w:rsid w:val="00591A3D"/>
    <w:rsid w:val="0059224D"/>
    <w:rsid w:val="00592B37"/>
    <w:rsid w:val="005944B9"/>
    <w:rsid w:val="005945AC"/>
    <w:rsid w:val="00594BBA"/>
    <w:rsid w:val="005952ED"/>
    <w:rsid w:val="00595EC4"/>
    <w:rsid w:val="005A0A94"/>
    <w:rsid w:val="005A0AC2"/>
    <w:rsid w:val="005A0E78"/>
    <w:rsid w:val="005A11E7"/>
    <w:rsid w:val="005A190B"/>
    <w:rsid w:val="005A33DF"/>
    <w:rsid w:val="005A3907"/>
    <w:rsid w:val="005A425C"/>
    <w:rsid w:val="005A79A0"/>
    <w:rsid w:val="005B0906"/>
    <w:rsid w:val="005B2079"/>
    <w:rsid w:val="005B2B18"/>
    <w:rsid w:val="005B2B9B"/>
    <w:rsid w:val="005B31D7"/>
    <w:rsid w:val="005B3899"/>
    <w:rsid w:val="005B446A"/>
    <w:rsid w:val="005B5035"/>
    <w:rsid w:val="005B5CC2"/>
    <w:rsid w:val="005B6A37"/>
    <w:rsid w:val="005C0C14"/>
    <w:rsid w:val="005C1CA2"/>
    <w:rsid w:val="005C2059"/>
    <w:rsid w:val="005C305D"/>
    <w:rsid w:val="005C3CFC"/>
    <w:rsid w:val="005C42CE"/>
    <w:rsid w:val="005C566D"/>
    <w:rsid w:val="005C56BE"/>
    <w:rsid w:val="005C642B"/>
    <w:rsid w:val="005C6BB8"/>
    <w:rsid w:val="005C6C14"/>
    <w:rsid w:val="005C6EE0"/>
    <w:rsid w:val="005C6EFB"/>
    <w:rsid w:val="005C7C92"/>
    <w:rsid w:val="005D05DE"/>
    <w:rsid w:val="005D19D6"/>
    <w:rsid w:val="005D2184"/>
    <w:rsid w:val="005D26CA"/>
    <w:rsid w:val="005D3995"/>
    <w:rsid w:val="005D50EE"/>
    <w:rsid w:val="005D52DB"/>
    <w:rsid w:val="005D5834"/>
    <w:rsid w:val="005D589C"/>
    <w:rsid w:val="005D5C2A"/>
    <w:rsid w:val="005D7EC6"/>
    <w:rsid w:val="005E10CC"/>
    <w:rsid w:val="005E18F3"/>
    <w:rsid w:val="005E23A8"/>
    <w:rsid w:val="005E3168"/>
    <w:rsid w:val="005E3198"/>
    <w:rsid w:val="005E35D5"/>
    <w:rsid w:val="005E36F7"/>
    <w:rsid w:val="005E5164"/>
    <w:rsid w:val="005E67EC"/>
    <w:rsid w:val="005E693E"/>
    <w:rsid w:val="005E69E5"/>
    <w:rsid w:val="005E6A9D"/>
    <w:rsid w:val="005E7CE6"/>
    <w:rsid w:val="005E7E74"/>
    <w:rsid w:val="005F00BF"/>
    <w:rsid w:val="005F1110"/>
    <w:rsid w:val="005F2114"/>
    <w:rsid w:val="005F270C"/>
    <w:rsid w:val="005F2AD5"/>
    <w:rsid w:val="005F3354"/>
    <w:rsid w:val="005F46D7"/>
    <w:rsid w:val="005F5A49"/>
    <w:rsid w:val="005F7B5A"/>
    <w:rsid w:val="006000AB"/>
    <w:rsid w:val="006016DA"/>
    <w:rsid w:val="00601FF5"/>
    <w:rsid w:val="00602179"/>
    <w:rsid w:val="00602D34"/>
    <w:rsid w:val="00603021"/>
    <w:rsid w:val="00603AFD"/>
    <w:rsid w:val="006056E6"/>
    <w:rsid w:val="00605FF7"/>
    <w:rsid w:val="006068FA"/>
    <w:rsid w:val="00606BD7"/>
    <w:rsid w:val="00606C03"/>
    <w:rsid w:val="00607CE3"/>
    <w:rsid w:val="0061050D"/>
    <w:rsid w:val="00610F5D"/>
    <w:rsid w:val="00610F84"/>
    <w:rsid w:val="00611D23"/>
    <w:rsid w:val="006125F9"/>
    <w:rsid w:val="006126F3"/>
    <w:rsid w:val="00612816"/>
    <w:rsid w:val="006130B2"/>
    <w:rsid w:val="006135A4"/>
    <w:rsid w:val="006136DA"/>
    <w:rsid w:val="00614BCC"/>
    <w:rsid w:val="00615F8C"/>
    <w:rsid w:val="00617418"/>
    <w:rsid w:val="00621058"/>
    <w:rsid w:val="0062270F"/>
    <w:rsid w:val="00622BDE"/>
    <w:rsid w:val="00622EE1"/>
    <w:rsid w:val="006232BB"/>
    <w:rsid w:val="00623FCA"/>
    <w:rsid w:val="006245E8"/>
    <w:rsid w:val="006265D5"/>
    <w:rsid w:val="00626CC2"/>
    <w:rsid w:val="00630EDB"/>
    <w:rsid w:val="006320EC"/>
    <w:rsid w:val="00632B33"/>
    <w:rsid w:val="00633159"/>
    <w:rsid w:val="0063376C"/>
    <w:rsid w:val="006339C1"/>
    <w:rsid w:val="00634BD8"/>
    <w:rsid w:val="00637265"/>
    <w:rsid w:val="00637FE7"/>
    <w:rsid w:val="0064089F"/>
    <w:rsid w:val="00642120"/>
    <w:rsid w:val="006436AB"/>
    <w:rsid w:val="00646981"/>
    <w:rsid w:val="00646F49"/>
    <w:rsid w:val="00651167"/>
    <w:rsid w:val="00651191"/>
    <w:rsid w:val="00651E06"/>
    <w:rsid w:val="006522A9"/>
    <w:rsid w:val="006528D8"/>
    <w:rsid w:val="006529DD"/>
    <w:rsid w:val="00652DCD"/>
    <w:rsid w:val="00653660"/>
    <w:rsid w:val="00654021"/>
    <w:rsid w:val="0065478A"/>
    <w:rsid w:val="00654EF0"/>
    <w:rsid w:val="0065552C"/>
    <w:rsid w:val="00655DBA"/>
    <w:rsid w:val="006579B5"/>
    <w:rsid w:val="00657BA6"/>
    <w:rsid w:val="00657CE0"/>
    <w:rsid w:val="00657EE5"/>
    <w:rsid w:val="006600B2"/>
    <w:rsid w:val="00660359"/>
    <w:rsid w:val="0066080D"/>
    <w:rsid w:val="00663277"/>
    <w:rsid w:val="00664D77"/>
    <w:rsid w:val="0066651B"/>
    <w:rsid w:val="00666939"/>
    <w:rsid w:val="00666D51"/>
    <w:rsid w:val="00666EEE"/>
    <w:rsid w:val="00666F53"/>
    <w:rsid w:val="00667238"/>
    <w:rsid w:val="00670298"/>
    <w:rsid w:val="006708E2"/>
    <w:rsid w:val="0067465B"/>
    <w:rsid w:val="00674AD7"/>
    <w:rsid w:val="00674DA8"/>
    <w:rsid w:val="00674F0D"/>
    <w:rsid w:val="00674F49"/>
    <w:rsid w:val="006764FC"/>
    <w:rsid w:val="00676510"/>
    <w:rsid w:val="006766EB"/>
    <w:rsid w:val="00676A8A"/>
    <w:rsid w:val="00676C5C"/>
    <w:rsid w:val="00676F24"/>
    <w:rsid w:val="00677CD6"/>
    <w:rsid w:val="00677E3F"/>
    <w:rsid w:val="0068027D"/>
    <w:rsid w:val="00680E0C"/>
    <w:rsid w:val="00682DF1"/>
    <w:rsid w:val="0068377D"/>
    <w:rsid w:val="00683D0A"/>
    <w:rsid w:val="00691735"/>
    <w:rsid w:val="006917C4"/>
    <w:rsid w:val="0069244C"/>
    <w:rsid w:val="00694BC3"/>
    <w:rsid w:val="00694E75"/>
    <w:rsid w:val="00696BE0"/>
    <w:rsid w:val="006A05EE"/>
    <w:rsid w:val="006A0839"/>
    <w:rsid w:val="006A33BC"/>
    <w:rsid w:val="006A4199"/>
    <w:rsid w:val="006A54DB"/>
    <w:rsid w:val="006A552B"/>
    <w:rsid w:val="006A6506"/>
    <w:rsid w:val="006A6A40"/>
    <w:rsid w:val="006B011E"/>
    <w:rsid w:val="006B038A"/>
    <w:rsid w:val="006B07F7"/>
    <w:rsid w:val="006B1916"/>
    <w:rsid w:val="006B203F"/>
    <w:rsid w:val="006B2759"/>
    <w:rsid w:val="006B3711"/>
    <w:rsid w:val="006B7EE7"/>
    <w:rsid w:val="006C14B0"/>
    <w:rsid w:val="006C19C0"/>
    <w:rsid w:val="006C1EF0"/>
    <w:rsid w:val="006C21E5"/>
    <w:rsid w:val="006C2347"/>
    <w:rsid w:val="006C2724"/>
    <w:rsid w:val="006C3242"/>
    <w:rsid w:val="006C4437"/>
    <w:rsid w:val="006C4E9E"/>
    <w:rsid w:val="006C571C"/>
    <w:rsid w:val="006C59F5"/>
    <w:rsid w:val="006C65A1"/>
    <w:rsid w:val="006C6AC5"/>
    <w:rsid w:val="006C6CF3"/>
    <w:rsid w:val="006C6EEE"/>
    <w:rsid w:val="006C7406"/>
    <w:rsid w:val="006C782C"/>
    <w:rsid w:val="006D037B"/>
    <w:rsid w:val="006D0908"/>
    <w:rsid w:val="006D1378"/>
    <w:rsid w:val="006D1414"/>
    <w:rsid w:val="006D19B0"/>
    <w:rsid w:val="006D296D"/>
    <w:rsid w:val="006D2DAB"/>
    <w:rsid w:val="006D2DE2"/>
    <w:rsid w:val="006D3D34"/>
    <w:rsid w:val="006D66AC"/>
    <w:rsid w:val="006D6CB1"/>
    <w:rsid w:val="006E023D"/>
    <w:rsid w:val="006E064A"/>
    <w:rsid w:val="006E13A4"/>
    <w:rsid w:val="006E179A"/>
    <w:rsid w:val="006E1A73"/>
    <w:rsid w:val="006E1D51"/>
    <w:rsid w:val="006E2D9B"/>
    <w:rsid w:val="006E2F4B"/>
    <w:rsid w:val="006E5046"/>
    <w:rsid w:val="006E5CB1"/>
    <w:rsid w:val="006E702B"/>
    <w:rsid w:val="006E73B7"/>
    <w:rsid w:val="006E7823"/>
    <w:rsid w:val="006E7921"/>
    <w:rsid w:val="006F0184"/>
    <w:rsid w:val="006F11CE"/>
    <w:rsid w:val="006F18A3"/>
    <w:rsid w:val="006F212F"/>
    <w:rsid w:val="006F2F7A"/>
    <w:rsid w:val="006F2FD4"/>
    <w:rsid w:val="006F36C8"/>
    <w:rsid w:val="006F45E9"/>
    <w:rsid w:val="006F47D2"/>
    <w:rsid w:val="006F4992"/>
    <w:rsid w:val="006F639F"/>
    <w:rsid w:val="006F680F"/>
    <w:rsid w:val="006F7689"/>
    <w:rsid w:val="00700FCC"/>
    <w:rsid w:val="00702107"/>
    <w:rsid w:val="00702A10"/>
    <w:rsid w:val="007035E0"/>
    <w:rsid w:val="00705115"/>
    <w:rsid w:val="00706DB2"/>
    <w:rsid w:val="00707DD2"/>
    <w:rsid w:val="00712084"/>
    <w:rsid w:val="0071217F"/>
    <w:rsid w:val="00712CEB"/>
    <w:rsid w:val="00713444"/>
    <w:rsid w:val="007137FE"/>
    <w:rsid w:val="0071417F"/>
    <w:rsid w:val="00714386"/>
    <w:rsid w:val="007143F9"/>
    <w:rsid w:val="00715B4B"/>
    <w:rsid w:val="00715D4F"/>
    <w:rsid w:val="00715EDB"/>
    <w:rsid w:val="007170AB"/>
    <w:rsid w:val="007173D6"/>
    <w:rsid w:val="007176C8"/>
    <w:rsid w:val="00717DA4"/>
    <w:rsid w:val="00720155"/>
    <w:rsid w:val="007208E3"/>
    <w:rsid w:val="007210BA"/>
    <w:rsid w:val="00723F1F"/>
    <w:rsid w:val="007246EB"/>
    <w:rsid w:val="00725951"/>
    <w:rsid w:val="00730119"/>
    <w:rsid w:val="007301E3"/>
    <w:rsid w:val="007308BE"/>
    <w:rsid w:val="00730A16"/>
    <w:rsid w:val="00731C76"/>
    <w:rsid w:val="00732ACE"/>
    <w:rsid w:val="00732E57"/>
    <w:rsid w:val="00732F36"/>
    <w:rsid w:val="007332F3"/>
    <w:rsid w:val="0073444A"/>
    <w:rsid w:val="00734511"/>
    <w:rsid w:val="00735405"/>
    <w:rsid w:val="007355AF"/>
    <w:rsid w:val="00737962"/>
    <w:rsid w:val="007406FF"/>
    <w:rsid w:val="007407D4"/>
    <w:rsid w:val="0074251F"/>
    <w:rsid w:val="007439CC"/>
    <w:rsid w:val="00744F04"/>
    <w:rsid w:val="00745641"/>
    <w:rsid w:val="00745696"/>
    <w:rsid w:val="00746E9E"/>
    <w:rsid w:val="00747427"/>
    <w:rsid w:val="00750543"/>
    <w:rsid w:val="0075350C"/>
    <w:rsid w:val="007540CD"/>
    <w:rsid w:val="00754D8B"/>
    <w:rsid w:val="00755DFB"/>
    <w:rsid w:val="00760247"/>
    <w:rsid w:val="00762839"/>
    <w:rsid w:val="00762D5D"/>
    <w:rsid w:val="0076454F"/>
    <w:rsid w:val="00765573"/>
    <w:rsid w:val="0076570D"/>
    <w:rsid w:val="00765BFD"/>
    <w:rsid w:val="00766C9C"/>
    <w:rsid w:val="00767CCC"/>
    <w:rsid w:val="00770775"/>
    <w:rsid w:val="00770A4A"/>
    <w:rsid w:val="00771B39"/>
    <w:rsid w:val="007725C8"/>
    <w:rsid w:val="007728D9"/>
    <w:rsid w:val="007737F2"/>
    <w:rsid w:val="00773861"/>
    <w:rsid w:val="00775264"/>
    <w:rsid w:val="007752F2"/>
    <w:rsid w:val="0077567D"/>
    <w:rsid w:val="007776DE"/>
    <w:rsid w:val="0078103E"/>
    <w:rsid w:val="00783183"/>
    <w:rsid w:val="00784FF6"/>
    <w:rsid w:val="00785881"/>
    <w:rsid w:val="00785D9F"/>
    <w:rsid w:val="00786B63"/>
    <w:rsid w:val="00786ED0"/>
    <w:rsid w:val="00790A99"/>
    <w:rsid w:val="00790D91"/>
    <w:rsid w:val="00791C60"/>
    <w:rsid w:val="007932B9"/>
    <w:rsid w:val="0079439C"/>
    <w:rsid w:val="00794EDE"/>
    <w:rsid w:val="00795265"/>
    <w:rsid w:val="007962B1"/>
    <w:rsid w:val="0079762E"/>
    <w:rsid w:val="007A0016"/>
    <w:rsid w:val="007A1E2A"/>
    <w:rsid w:val="007A40E7"/>
    <w:rsid w:val="007A4505"/>
    <w:rsid w:val="007A4C62"/>
    <w:rsid w:val="007A68DE"/>
    <w:rsid w:val="007A7A66"/>
    <w:rsid w:val="007B2F85"/>
    <w:rsid w:val="007B4854"/>
    <w:rsid w:val="007B55F9"/>
    <w:rsid w:val="007B586D"/>
    <w:rsid w:val="007B6B66"/>
    <w:rsid w:val="007B6DD6"/>
    <w:rsid w:val="007C05E8"/>
    <w:rsid w:val="007C23E7"/>
    <w:rsid w:val="007C28D8"/>
    <w:rsid w:val="007C332E"/>
    <w:rsid w:val="007C348D"/>
    <w:rsid w:val="007C3721"/>
    <w:rsid w:val="007C37DD"/>
    <w:rsid w:val="007C6094"/>
    <w:rsid w:val="007C765A"/>
    <w:rsid w:val="007D0A58"/>
    <w:rsid w:val="007D1063"/>
    <w:rsid w:val="007D14A7"/>
    <w:rsid w:val="007D1522"/>
    <w:rsid w:val="007D1E40"/>
    <w:rsid w:val="007D281B"/>
    <w:rsid w:val="007D5A18"/>
    <w:rsid w:val="007D5B2C"/>
    <w:rsid w:val="007D6F46"/>
    <w:rsid w:val="007E00CE"/>
    <w:rsid w:val="007E020D"/>
    <w:rsid w:val="007E0D80"/>
    <w:rsid w:val="007E0DD0"/>
    <w:rsid w:val="007E10C3"/>
    <w:rsid w:val="007E1CFA"/>
    <w:rsid w:val="007E25F2"/>
    <w:rsid w:val="007E3C7C"/>
    <w:rsid w:val="007E46A1"/>
    <w:rsid w:val="007E48D3"/>
    <w:rsid w:val="007E5065"/>
    <w:rsid w:val="007E55DB"/>
    <w:rsid w:val="007E5955"/>
    <w:rsid w:val="007E78CC"/>
    <w:rsid w:val="007F1BC3"/>
    <w:rsid w:val="007F1D72"/>
    <w:rsid w:val="007F1DFC"/>
    <w:rsid w:val="007F1EB6"/>
    <w:rsid w:val="007F29A5"/>
    <w:rsid w:val="007F2C4E"/>
    <w:rsid w:val="007F3828"/>
    <w:rsid w:val="007F45D0"/>
    <w:rsid w:val="007F568B"/>
    <w:rsid w:val="007F5D32"/>
    <w:rsid w:val="007F5E76"/>
    <w:rsid w:val="0080067C"/>
    <w:rsid w:val="00800F11"/>
    <w:rsid w:val="008011F9"/>
    <w:rsid w:val="00802514"/>
    <w:rsid w:val="00802A58"/>
    <w:rsid w:val="00802F92"/>
    <w:rsid w:val="0080318E"/>
    <w:rsid w:val="008033F8"/>
    <w:rsid w:val="008036ED"/>
    <w:rsid w:val="008037BD"/>
    <w:rsid w:val="008046B1"/>
    <w:rsid w:val="00805B8F"/>
    <w:rsid w:val="00806E3F"/>
    <w:rsid w:val="00807039"/>
    <w:rsid w:val="00810456"/>
    <w:rsid w:val="00810EE0"/>
    <w:rsid w:val="00811A0B"/>
    <w:rsid w:val="008123F1"/>
    <w:rsid w:val="00812800"/>
    <w:rsid w:val="00812AAB"/>
    <w:rsid w:val="008132BB"/>
    <w:rsid w:val="00813596"/>
    <w:rsid w:val="00813F1E"/>
    <w:rsid w:val="008142ED"/>
    <w:rsid w:val="00814584"/>
    <w:rsid w:val="008178D8"/>
    <w:rsid w:val="00817FED"/>
    <w:rsid w:val="00820A5D"/>
    <w:rsid w:val="0082199C"/>
    <w:rsid w:val="00821C6E"/>
    <w:rsid w:val="00821E31"/>
    <w:rsid w:val="00823581"/>
    <w:rsid w:val="008238E4"/>
    <w:rsid w:val="00823C6F"/>
    <w:rsid w:val="008241C4"/>
    <w:rsid w:val="00824994"/>
    <w:rsid w:val="00824996"/>
    <w:rsid w:val="008250BC"/>
    <w:rsid w:val="0082685A"/>
    <w:rsid w:val="00830C6D"/>
    <w:rsid w:val="0083157F"/>
    <w:rsid w:val="008326BC"/>
    <w:rsid w:val="00832E25"/>
    <w:rsid w:val="008339C8"/>
    <w:rsid w:val="00833D7F"/>
    <w:rsid w:val="00834B8F"/>
    <w:rsid w:val="008370AD"/>
    <w:rsid w:val="008403E5"/>
    <w:rsid w:val="00840ACE"/>
    <w:rsid w:val="0084197A"/>
    <w:rsid w:val="00842344"/>
    <w:rsid w:val="00842A75"/>
    <w:rsid w:val="00842C6B"/>
    <w:rsid w:val="00843CE2"/>
    <w:rsid w:val="0084422B"/>
    <w:rsid w:val="008446BC"/>
    <w:rsid w:val="008450AE"/>
    <w:rsid w:val="0084707A"/>
    <w:rsid w:val="008506C2"/>
    <w:rsid w:val="00850925"/>
    <w:rsid w:val="00851FF7"/>
    <w:rsid w:val="008520A2"/>
    <w:rsid w:val="00853575"/>
    <w:rsid w:val="00853D42"/>
    <w:rsid w:val="00853E68"/>
    <w:rsid w:val="00855F67"/>
    <w:rsid w:val="00856E09"/>
    <w:rsid w:val="00857444"/>
    <w:rsid w:val="00857721"/>
    <w:rsid w:val="00857B03"/>
    <w:rsid w:val="00860B1E"/>
    <w:rsid w:val="008613C4"/>
    <w:rsid w:val="0086187C"/>
    <w:rsid w:val="00861C5A"/>
    <w:rsid w:val="00864A5A"/>
    <w:rsid w:val="00864BC8"/>
    <w:rsid w:val="008654E0"/>
    <w:rsid w:val="008666F4"/>
    <w:rsid w:val="00866EB7"/>
    <w:rsid w:val="00867E0F"/>
    <w:rsid w:val="008701BA"/>
    <w:rsid w:val="00870673"/>
    <w:rsid w:val="00870962"/>
    <w:rsid w:val="008712E9"/>
    <w:rsid w:val="00872BD4"/>
    <w:rsid w:val="00873AA1"/>
    <w:rsid w:val="00875112"/>
    <w:rsid w:val="00875C92"/>
    <w:rsid w:val="00876434"/>
    <w:rsid w:val="00876A7D"/>
    <w:rsid w:val="00877502"/>
    <w:rsid w:val="00877C80"/>
    <w:rsid w:val="00877F9C"/>
    <w:rsid w:val="00880C9E"/>
    <w:rsid w:val="008813C6"/>
    <w:rsid w:val="008819F5"/>
    <w:rsid w:val="008828DD"/>
    <w:rsid w:val="00882DB9"/>
    <w:rsid w:val="00882DE1"/>
    <w:rsid w:val="00885163"/>
    <w:rsid w:val="00887436"/>
    <w:rsid w:val="00887C16"/>
    <w:rsid w:val="00890187"/>
    <w:rsid w:val="00890AD4"/>
    <w:rsid w:val="00890F6A"/>
    <w:rsid w:val="00891D56"/>
    <w:rsid w:val="00894FB4"/>
    <w:rsid w:val="00896048"/>
    <w:rsid w:val="00897233"/>
    <w:rsid w:val="008A022A"/>
    <w:rsid w:val="008A02BF"/>
    <w:rsid w:val="008A04DF"/>
    <w:rsid w:val="008A069D"/>
    <w:rsid w:val="008A188C"/>
    <w:rsid w:val="008A23B3"/>
    <w:rsid w:val="008A3323"/>
    <w:rsid w:val="008A4380"/>
    <w:rsid w:val="008A5AB5"/>
    <w:rsid w:val="008A70FE"/>
    <w:rsid w:val="008A7697"/>
    <w:rsid w:val="008A7C10"/>
    <w:rsid w:val="008B08E9"/>
    <w:rsid w:val="008B2081"/>
    <w:rsid w:val="008B2952"/>
    <w:rsid w:val="008B6419"/>
    <w:rsid w:val="008B73B4"/>
    <w:rsid w:val="008C2479"/>
    <w:rsid w:val="008C2D17"/>
    <w:rsid w:val="008C456C"/>
    <w:rsid w:val="008C584D"/>
    <w:rsid w:val="008C61AF"/>
    <w:rsid w:val="008C62DF"/>
    <w:rsid w:val="008C636B"/>
    <w:rsid w:val="008C799A"/>
    <w:rsid w:val="008D0D06"/>
    <w:rsid w:val="008D1C1F"/>
    <w:rsid w:val="008D3CFF"/>
    <w:rsid w:val="008D51E7"/>
    <w:rsid w:val="008D57E8"/>
    <w:rsid w:val="008D59A9"/>
    <w:rsid w:val="008D6C88"/>
    <w:rsid w:val="008D73F1"/>
    <w:rsid w:val="008E1B4C"/>
    <w:rsid w:val="008E1D3C"/>
    <w:rsid w:val="008E1E8B"/>
    <w:rsid w:val="008E228B"/>
    <w:rsid w:val="008E244A"/>
    <w:rsid w:val="008E2EA9"/>
    <w:rsid w:val="008E390C"/>
    <w:rsid w:val="008E4C53"/>
    <w:rsid w:val="008E5368"/>
    <w:rsid w:val="008E61E8"/>
    <w:rsid w:val="008E6421"/>
    <w:rsid w:val="008E6B4A"/>
    <w:rsid w:val="008E73DE"/>
    <w:rsid w:val="008E7556"/>
    <w:rsid w:val="008E7AAF"/>
    <w:rsid w:val="008F09C1"/>
    <w:rsid w:val="008F10F1"/>
    <w:rsid w:val="008F1316"/>
    <w:rsid w:val="008F2CDB"/>
    <w:rsid w:val="008F36B6"/>
    <w:rsid w:val="008F4D6C"/>
    <w:rsid w:val="008F5110"/>
    <w:rsid w:val="008F5A93"/>
    <w:rsid w:val="008F73FF"/>
    <w:rsid w:val="008F781B"/>
    <w:rsid w:val="008F7FE0"/>
    <w:rsid w:val="00900C4B"/>
    <w:rsid w:val="0090101F"/>
    <w:rsid w:val="009019D6"/>
    <w:rsid w:val="009033DF"/>
    <w:rsid w:val="009050E7"/>
    <w:rsid w:val="009050ED"/>
    <w:rsid w:val="00907540"/>
    <w:rsid w:val="00907864"/>
    <w:rsid w:val="00910DD3"/>
    <w:rsid w:val="009111B4"/>
    <w:rsid w:val="009111D6"/>
    <w:rsid w:val="00911A81"/>
    <w:rsid w:val="00911C52"/>
    <w:rsid w:val="0091223D"/>
    <w:rsid w:val="00912AD5"/>
    <w:rsid w:val="00913365"/>
    <w:rsid w:val="00913FB4"/>
    <w:rsid w:val="00914B51"/>
    <w:rsid w:val="00916164"/>
    <w:rsid w:val="00917E1B"/>
    <w:rsid w:val="00923FCA"/>
    <w:rsid w:val="00925BB5"/>
    <w:rsid w:val="009260D8"/>
    <w:rsid w:val="00926E31"/>
    <w:rsid w:val="00930CAE"/>
    <w:rsid w:val="00931730"/>
    <w:rsid w:val="00933A3A"/>
    <w:rsid w:val="00933C3A"/>
    <w:rsid w:val="00936214"/>
    <w:rsid w:val="009364CC"/>
    <w:rsid w:val="009406F5"/>
    <w:rsid w:val="009411C6"/>
    <w:rsid w:val="009418D5"/>
    <w:rsid w:val="009434AB"/>
    <w:rsid w:val="0094405E"/>
    <w:rsid w:val="00944181"/>
    <w:rsid w:val="00944B52"/>
    <w:rsid w:val="00944FC5"/>
    <w:rsid w:val="0094614F"/>
    <w:rsid w:val="00946CBC"/>
    <w:rsid w:val="00950A68"/>
    <w:rsid w:val="00950D8B"/>
    <w:rsid w:val="0095273E"/>
    <w:rsid w:val="009529D9"/>
    <w:rsid w:val="009533D4"/>
    <w:rsid w:val="00954215"/>
    <w:rsid w:val="0095578E"/>
    <w:rsid w:val="00955E13"/>
    <w:rsid w:val="00960575"/>
    <w:rsid w:val="009608C1"/>
    <w:rsid w:val="00961767"/>
    <w:rsid w:val="00961EB5"/>
    <w:rsid w:val="00962654"/>
    <w:rsid w:val="009630EB"/>
    <w:rsid w:val="00963197"/>
    <w:rsid w:val="0096550E"/>
    <w:rsid w:val="00965C32"/>
    <w:rsid w:val="00965D45"/>
    <w:rsid w:val="009677B4"/>
    <w:rsid w:val="00970736"/>
    <w:rsid w:val="00970937"/>
    <w:rsid w:val="0097252C"/>
    <w:rsid w:val="00972F6F"/>
    <w:rsid w:val="009734FB"/>
    <w:rsid w:val="009747E4"/>
    <w:rsid w:val="009751CC"/>
    <w:rsid w:val="00976BB6"/>
    <w:rsid w:val="00977FC7"/>
    <w:rsid w:val="00980040"/>
    <w:rsid w:val="00981F40"/>
    <w:rsid w:val="00982947"/>
    <w:rsid w:val="00982E1D"/>
    <w:rsid w:val="00983445"/>
    <w:rsid w:val="0098498F"/>
    <w:rsid w:val="00984B87"/>
    <w:rsid w:val="00985EA4"/>
    <w:rsid w:val="0098602D"/>
    <w:rsid w:val="00986337"/>
    <w:rsid w:val="00986D8A"/>
    <w:rsid w:val="00987C9C"/>
    <w:rsid w:val="00990B1D"/>
    <w:rsid w:val="00992A0B"/>
    <w:rsid w:val="00992B2E"/>
    <w:rsid w:val="00992D95"/>
    <w:rsid w:val="00993455"/>
    <w:rsid w:val="00993EE6"/>
    <w:rsid w:val="0099501F"/>
    <w:rsid w:val="009952D7"/>
    <w:rsid w:val="0099552E"/>
    <w:rsid w:val="009956B6"/>
    <w:rsid w:val="0099705B"/>
    <w:rsid w:val="009A0710"/>
    <w:rsid w:val="009A1CDA"/>
    <w:rsid w:val="009A201F"/>
    <w:rsid w:val="009A21C1"/>
    <w:rsid w:val="009A2ED7"/>
    <w:rsid w:val="009A34D4"/>
    <w:rsid w:val="009A46A1"/>
    <w:rsid w:val="009A5AC2"/>
    <w:rsid w:val="009A6319"/>
    <w:rsid w:val="009A78E6"/>
    <w:rsid w:val="009A7B54"/>
    <w:rsid w:val="009B0188"/>
    <w:rsid w:val="009B047B"/>
    <w:rsid w:val="009B0833"/>
    <w:rsid w:val="009B11EA"/>
    <w:rsid w:val="009B1206"/>
    <w:rsid w:val="009B21DE"/>
    <w:rsid w:val="009B2335"/>
    <w:rsid w:val="009B39BC"/>
    <w:rsid w:val="009B4C91"/>
    <w:rsid w:val="009B4CA5"/>
    <w:rsid w:val="009B5244"/>
    <w:rsid w:val="009B558C"/>
    <w:rsid w:val="009B6734"/>
    <w:rsid w:val="009B7DEB"/>
    <w:rsid w:val="009C10AE"/>
    <w:rsid w:val="009C166C"/>
    <w:rsid w:val="009C1853"/>
    <w:rsid w:val="009C1C6F"/>
    <w:rsid w:val="009C2262"/>
    <w:rsid w:val="009C30E6"/>
    <w:rsid w:val="009C32B7"/>
    <w:rsid w:val="009C43E8"/>
    <w:rsid w:val="009C5106"/>
    <w:rsid w:val="009C5F22"/>
    <w:rsid w:val="009C6A5B"/>
    <w:rsid w:val="009C7393"/>
    <w:rsid w:val="009C7701"/>
    <w:rsid w:val="009C77BB"/>
    <w:rsid w:val="009C7A08"/>
    <w:rsid w:val="009D0140"/>
    <w:rsid w:val="009D223C"/>
    <w:rsid w:val="009D2553"/>
    <w:rsid w:val="009D28CB"/>
    <w:rsid w:val="009D37C1"/>
    <w:rsid w:val="009D452E"/>
    <w:rsid w:val="009D4DE9"/>
    <w:rsid w:val="009D5627"/>
    <w:rsid w:val="009D5945"/>
    <w:rsid w:val="009D74B2"/>
    <w:rsid w:val="009D7CE4"/>
    <w:rsid w:val="009E0C4F"/>
    <w:rsid w:val="009E24D3"/>
    <w:rsid w:val="009E2821"/>
    <w:rsid w:val="009E4674"/>
    <w:rsid w:val="009E6DB5"/>
    <w:rsid w:val="009F1BAA"/>
    <w:rsid w:val="009F23FA"/>
    <w:rsid w:val="009F3A75"/>
    <w:rsid w:val="009F3E9A"/>
    <w:rsid w:val="009F5056"/>
    <w:rsid w:val="009F50A4"/>
    <w:rsid w:val="009F5A48"/>
    <w:rsid w:val="009F661D"/>
    <w:rsid w:val="009F6965"/>
    <w:rsid w:val="009F78EE"/>
    <w:rsid w:val="00A0038D"/>
    <w:rsid w:val="00A0168C"/>
    <w:rsid w:val="00A022D2"/>
    <w:rsid w:val="00A02410"/>
    <w:rsid w:val="00A02C35"/>
    <w:rsid w:val="00A03023"/>
    <w:rsid w:val="00A03937"/>
    <w:rsid w:val="00A0413B"/>
    <w:rsid w:val="00A049EE"/>
    <w:rsid w:val="00A07241"/>
    <w:rsid w:val="00A073C8"/>
    <w:rsid w:val="00A0748C"/>
    <w:rsid w:val="00A07855"/>
    <w:rsid w:val="00A111A2"/>
    <w:rsid w:val="00A116BC"/>
    <w:rsid w:val="00A13401"/>
    <w:rsid w:val="00A13939"/>
    <w:rsid w:val="00A14073"/>
    <w:rsid w:val="00A14E1B"/>
    <w:rsid w:val="00A158B6"/>
    <w:rsid w:val="00A15C70"/>
    <w:rsid w:val="00A179B9"/>
    <w:rsid w:val="00A20521"/>
    <w:rsid w:val="00A20D38"/>
    <w:rsid w:val="00A22EED"/>
    <w:rsid w:val="00A231BE"/>
    <w:rsid w:val="00A2351B"/>
    <w:rsid w:val="00A24393"/>
    <w:rsid w:val="00A24E41"/>
    <w:rsid w:val="00A24F72"/>
    <w:rsid w:val="00A269AB"/>
    <w:rsid w:val="00A26E8C"/>
    <w:rsid w:val="00A30BAF"/>
    <w:rsid w:val="00A31535"/>
    <w:rsid w:val="00A32FCA"/>
    <w:rsid w:val="00A331B5"/>
    <w:rsid w:val="00A337FF"/>
    <w:rsid w:val="00A345D3"/>
    <w:rsid w:val="00A34AD7"/>
    <w:rsid w:val="00A35199"/>
    <w:rsid w:val="00A35664"/>
    <w:rsid w:val="00A36126"/>
    <w:rsid w:val="00A365CC"/>
    <w:rsid w:val="00A401BB"/>
    <w:rsid w:val="00A403D3"/>
    <w:rsid w:val="00A408FC"/>
    <w:rsid w:val="00A41A42"/>
    <w:rsid w:val="00A42430"/>
    <w:rsid w:val="00A4345A"/>
    <w:rsid w:val="00A44718"/>
    <w:rsid w:val="00A45733"/>
    <w:rsid w:val="00A46302"/>
    <w:rsid w:val="00A46A1A"/>
    <w:rsid w:val="00A47F47"/>
    <w:rsid w:val="00A50604"/>
    <w:rsid w:val="00A50D01"/>
    <w:rsid w:val="00A50F52"/>
    <w:rsid w:val="00A51355"/>
    <w:rsid w:val="00A52B16"/>
    <w:rsid w:val="00A53BC5"/>
    <w:rsid w:val="00A53FA5"/>
    <w:rsid w:val="00A53FE2"/>
    <w:rsid w:val="00A5581E"/>
    <w:rsid w:val="00A571F7"/>
    <w:rsid w:val="00A579D2"/>
    <w:rsid w:val="00A57FA8"/>
    <w:rsid w:val="00A6074F"/>
    <w:rsid w:val="00A61C6E"/>
    <w:rsid w:val="00A61FA1"/>
    <w:rsid w:val="00A64572"/>
    <w:rsid w:val="00A66B43"/>
    <w:rsid w:val="00A6700D"/>
    <w:rsid w:val="00A67F0E"/>
    <w:rsid w:val="00A70B95"/>
    <w:rsid w:val="00A70F84"/>
    <w:rsid w:val="00A71735"/>
    <w:rsid w:val="00A71852"/>
    <w:rsid w:val="00A72ABC"/>
    <w:rsid w:val="00A7386F"/>
    <w:rsid w:val="00A76638"/>
    <w:rsid w:val="00A76B6B"/>
    <w:rsid w:val="00A76F56"/>
    <w:rsid w:val="00A77630"/>
    <w:rsid w:val="00A77CC4"/>
    <w:rsid w:val="00A81EE1"/>
    <w:rsid w:val="00A8252A"/>
    <w:rsid w:val="00A83FE6"/>
    <w:rsid w:val="00A8408D"/>
    <w:rsid w:val="00A84343"/>
    <w:rsid w:val="00A8463E"/>
    <w:rsid w:val="00A85237"/>
    <w:rsid w:val="00A85AEF"/>
    <w:rsid w:val="00A90795"/>
    <w:rsid w:val="00A90961"/>
    <w:rsid w:val="00A91C5E"/>
    <w:rsid w:val="00A91CE8"/>
    <w:rsid w:val="00A92489"/>
    <w:rsid w:val="00A93CD7"/>
    <w:rsid w:val="00A94253"/>
    <w:rsid w:val="00A951AE"/>
    <w:rsid w:val="00A95515"/>
    <w:rsid w:val="00A95AAF"/>
    <w:rsid w:val="00A95ECC"/>
    <w:rsid w:val="00A96DD0"/>
    <w:rsid w:val="00A971E0"/>
    <w:rsid w:val="00AA029A"/>
    <w:rsid w:val="00AA0604"/>
    <w:rsid w:val="00AA0EB0"/>
    <w:rsid w:val="00AA18EB"/>
    <w:rsid w:val="00AA1BE9"/>
    <w:rsid w:val="00AA1FA9"/>
    <w:rsid w:val="00AA27AE"/>
    <w:rsid w:val="00AA2AC3"/>
    <w:rsid w:val="00AA3CA9"/>
    <w:rsid w:val="00AA3DC9"/>
    <w:rsid w:val="00AA43B1"/>
    <w:rsid w:val="00AA4A07"/>
    <w:rsid w:val="00AA4ADE"/>
    <w:rsid w:val="00AA52CF"/>
    <w:rsid w:val="00AA6BDD"/>
    <w:rsid w:val="00AA6C5A"/>
    <w:rsid w:val="00AB03CD"/>
    <w:rsid w:val="00AB0960"/>
    <w:rsid w:val="00AB292F"/>
    <w:rsid w:val="00AB41B3"/>
    <w:rsid w:val="00AB49A6"/>
    <w:rsid w:val="00AB4C9F"/>
    <w:rsid w:val="00AB5045"/>
    <w:rsid w:val="00AB6E7E"/>
    <w:rsid w:val="00AB755C"/>
    <w:rsid w:val="00AC08A2"/>
    <w:rsid w:val="00AC0F03"/>
    <w:rsid w:val="00AC1611"/>
    <w:rsid w:val="00AC2BEF"/>
    <w:rsid w:val="00AC2F43"/>
    <w:rsid w:val="00AC3F3F"/>
    <w:rsid w:val="00AC3FFA"/>
    <w:rsid w:val="00AC4BC2"/>
    <w:rsid w:val="00AC5D72"/>
    <w:rsid w:val="00AC5E1F"/>
    <w:rsid w:val="00AC5EBD"/>
    <w:rsid w:val="00AC615D"/>
    <w:rsid w:val="00AC790C"/>
    <w:rsid w:val="00AD095D"/>
    <w:rsid w:val="00AD1C7F"/>
    <w:rsid w:val="00AD1FDA"/>
    <w:rsid w:val="00AD22B4"/>
    <w:rsid w:val="00AD28B5"/>
    <w:rsid w:val="00AD3476"/>
    <w:rsid w:val="00AD3F45"/>
    <w:rsid w:val="00AD56C1"/>
    <w:rsid w:val="00AD69CB"/>
    <w:rsid w:val="00AD785D"/>
    <w:rsid w:val="00AE006E"/>
    <w:rsid w:val="00AE29CD"/>
    <w:rsid w:val="00AE4FF0"/>
    <w:rsid w:val="00AE53A7"/>
    <w:rsid w:val="00AE6BF0"/>
    <w:rsid w:val="00AE6C02"/>
    <w:rsid w:val="00AF00AF"/>
    <w:rsid w:val="00AF00BC"/>
    <w:rsid w:val="00AF0358"/>
    <w:rsid w:val="00AF0ADE"/>
    <w:rsid w:val="00AF27FD"/>
    <w:rsid w:val="00AF30A6"/>
    <w:rsid w:val="00AF36EF"/>
    <w:rsid w:val="00AF4457"/>
    <w:rsid w:val="00AF4CB1"/>
    <w:rsid w:val="00AF5809"/>
    <w:rsid w:val="00AF665E"/>
    <w:rsid w:val="00AF66CA"/>
    <w:rsid w:val="00AF6F90"/>
    <w:rsid w:val="00B017CE"/>
    <w:rsid w:val="00B01B2D"/>
    <w:rsid w:val="00B02407"/>
    <w:rsid w:val="00B02953"/>
    <w:rsid w:val="00B032F6"/>
    <w:rsid w:val="00B03BA2"/>
    <w:rsid w:val="00B03E84"/>
    <w:rsid w:val="00B0438C"/>
    <w:rsid w:val="00B043BE"/>
    <w:rsid w:val="00B05298"/>
    <w:rsid w:val="00B052BC"/>
    <w:rsid w:val="00B070BC"/>
    <w:rsid w:val="00B1007E"/>
    <w:rsid w:val="00B1059E"/>
    <w:rsid w:val="00B10807"/>
    <w:rsid w:val="00B10C1D"/>
    <w:rsid w:val="00B11711"/>
    <w:rsid w:val="00B1293E"/>
    <w:rsid w:val="00B13529"/>
    <w:rsid w:val="00B13775"/>
    <w:rsid w:val="00B13C12"/>
    <w:rsid w:val="00B148B2"/>
    <w:rsid w:val="00B14EF5"/>
    <w:rsid w:val="00B15221"/>
    <w:rsid w:val="00B156B2"/>
    <w:rsid w:val="00B168DE"/>
    <w:rsid w:val="00B1780C"/>
    <w:rsid w:val="00B17F3D"/>
    <w:rsid w:val="00B20599"/>
    <w:rsid w:val="00B22F7D"/>
    <w:rsid w:val="00B23574"/>
    <w:rsid w:val="00B246D0"/>
    <w:rsid w:val="00B24881"/>
    <w:rsid w:val="00B26EF8"/>
    <w:rsid w:val="00B274D2"/>
    <w:rsid w:val="00B27969"/>
    <w:rsid w:val="00B27CCC"/>
    <w:rsid w:val="00B27EB3"/>
    <w:rsid w:val="00B30885"/>
    <w:rsid w:val="00B30BB4"/>
    <w:rsid w:val="00B30F5B"/>
    <w:rsid w:val="00B3218A"/>
    <w:rsid w:val="00B3266F"/>
    <w:rsid w:val="00B33F13"/>
    <w:rsid w:val="00B343F7"/>
    <w:rsid w:val="00B34A0D"/>
    <w:rsid w:val="00B34EA8"/>
    <w:rsid w:val="00B35C41"/>
    <w:rsid w:val="00B361DF"/>
    <w:rsid w:val="00B372C4"/>
    <w:rsid w:val="00B40082"/>
    <w:rsid w:val="00B4241F"/>
    <w:rsid w:val="00B43C29"/>
    <w:rsid w:val="00B448CF"/>
    <w:rsid w:val="00B449D0"/>
    <w:rsid w:val="00B4654E"/>
    <w:rsid w:val="00B465AC"/>
    <w:rsid w:val="00B46A50"/>
    <w:rsid w:val="00B473CD"/>
    <w:rsid w:val="00B47AC8"/>
    <w:rsid w:val="00B47CC3"/>
    <w:rsid w:val="00B501C4"/>
    <w:rsid w:val="00B50A59"/>
    <w:rsid w:val="00B50AAC"/>
    <w:rsid w:val="00B50F90"/>
    <w:rsid w:val="00B52CEA"/>
    <w:rsid w:val="00B53B02"/>
    <w:rsid w:val="00B5421F"/>
    <w:rsid w:val="00B55A22"/>
    <w:rsid w:val="00B5655D"/>
    <w:rsid w:val="00B609AE"/>
    <w:rsid w:val="00B6197B"/>
    <w:rsid w:val="00B61DC5"/>
    <w:rsid w:val="00B621A8"/>
    <w:rsid w:val="00B622CB"/>
    <w:rsid w:val="00B6302F"/>
    <w:rsid w:val="00B63438"/>
    <w:rsid w:val="00B639B4"/>
    <w:rsid w:val="00B65318"/>
    <w:rsid w:val="00B66DCA"/>
    <w:rsid w:val="00B67058"/>
    <w:rsid w:val="00B67313"/>
    <w:rsid w:val="00B71359"/>
    <w:rsid w:val="00B715F3"/>
    <w:rsid w:val="00B718B0"/>
    <w:rsid w:val="00B719B7"/>
    <w:rsid w:val="00B72603"/>
    <w:rsid w:val="00B72C7F"/>
    <w:rsid w:val="00B7549B"/>
    <w:rsid w:val="00B80B0C"/>
    <w:rsid w:val="00B81E13"/>
    <w:rsid w:val="00B82C0D"/>
    <w:rsid w:val="00B83199"/>
    <w:rsid w:val="00B842C2"/>
    <w:rsid w:val="00B84897"/>
    <w:rsid w:val="00B85696"/>
    <w:rsid w:val="00B85EE7"/>
    <w:rsid w:val="00B85FF6"/>
    <w:rsid w:val="00B8715E"/>
    <w:rsid w:val="00B912BE"/>
    <w:rsid w:val="00B91F5F"/>
    <w:rsid w:val="00B92D21"/>
    <w:rsid w:val="00B930B0"/>
    <w:rsid w:val="00B96EB5"/>
    <w:rsid w:val="00B978E7"/>
    <w:rsid w:val="00B97A1E"/>
    <w:rsid w:val="00BA0065"/>
    <w:rsid w:val="00BA03C6"/>
    <w:rsid w:val="00BA0B73"/>
    <w:rsid w:val="00BA1441"/>
    <w:rsid w:val="00BA2327"/>
    <w:rsid w:val="00BA4F9B"/>
    <w:rsid w:val="00BA4FB3"/>
    <w:rsid w:val="00BA5E88"/>
    <w:rsid w:val="00BB4043"/>
    <w:rsid w:val="00BB4335"/>
    <w:rsid w:val="00BB4683"/>
    <w:rsid w:val="00BB55B9"/>
    <w:rsid w:val="00BB5F79"/>
    <w:rsid w:val="00BB6195"/>
    <w:rsid w:val="00BB6285"/>
    <w:rsid w:val="00BB689C"/>
    <w:rsid w:val="00BB6FE7"/>
    <w:rsid w:val="00BB707C"/>
    <w:rsid w:val="00BB7C9D"/>
    <w:rsid w:val="00BC0CEC"/>
    <w:rsid w:val="00BC1092"/>
    <w:rsid w:val="00BC126F"/>
    <w:rsid w:val="00BC2EE5"/>
    <w:rsid w:val="00BC4A10"/>
    <w:rsid w:val="00BC689E"/>
    <w:rsid w:val="00BC6920"/>
    <w:rsid w:val="00BC69EA"/>
    <w:rsid w:val="00BC6F0B"/>
    <w:rsid w:val="00BC761E"/>
    <w:rsid w:val="00BC7A5A"/>
    <w:rsid w:val="00BD03AF"/>
    <w:rsid w:val="00BD195C"/>
    <w:rsid w:val="00BD2770"/>
    <w:rsid w:val="00BD29B1"/>
    <w:rsid w:val="00BD41C8"/>
    <w:rsid w:val="00BD5DE1"/>
    <w:rsid w:val="00BE0FE7"/>
    <w:rsid w:val="00BE1918"/>
    <w:rsid w:val="00BE19D4"/>
    <w:rsid w:val="00BE1B9D"/>
    <w:rsid w:val="00BE3E89"/>
    <w:rsid w:val="00BE4727"/>
    <w:rsid w:val="00BE5050"/>
    <w:rsid w:val="00BE5748"/>
    <w:rsid w:val="00BE5ACD"/>
    <w:rsid w:val="00BE612D"/>
    <w:rsid w:val="00BE6CAD"/>
    <w:rsid w:val="00BE6EBA"/>
    <w:rsid w:val="00BE74B1"/>
    <w:rsid w:val="00BF1FBD"/>
    <w:rsid w:val="00BF21FB"/>
    <w:rsid w:val="00BF2D80"/>
    <w:rsid w:val="00BF39E1"/>
    <w:rsid w:val="00BF3C19"/>
    <w:rsid w:val="00BF3FFC"/>
    <w:rsid w:val="00BF470F"/>
    <w:rsid w:val="00BF49A8"/>
    <w:rsid w:val="00BF505A"/>
    <w:rsid w:val="00BF5408"/>
    <w:rsid w:val="00BF55DE"/>
    <w:rsid w:val="00BF7B8A"/>
    <w:rsid w:val="00BF7F91"/>
    <w:rsid w:val="00C00102"/>
    <w:rsid w:val="00C02378"/>
    <w:rsid w:val="00C02B59"/>
    <w:rsid w:val="00C04B2C"/>
    <w:rsid w:val="00C04D3E"/>
    <w:rsid w:val="00C0640A"/>
    <w:rsid w:val="00C079CE"/>
    <w:rsid w:val="00C07D93"/>
    <w:rsid w:val="00C07E4F"/>
    <w:rsid w:val="00C10379"/>
    <w:rsid w:val="00C114A1"/>
    <w:rsid w:val="00C11CF5"/>
    <w:rsid w:val="00C12448"/>
    <w:rsid w:val="00C12913"/>
    <w:rsid w:val="00C1390E"/>
    <w:rsid w:val="00C15271"/>
    <w:rsid w:val="00C156AB"/>
    <w:rsid w:val="00C17D38"/>
    <w:rsid w:val="00C20587"/>
    <w:rsid w:val="00C216F4"/>
    <w:rsid w:val="00C21FD1"/>
    <w:rsid w:val="00C22CD8"/>
    <w:rsid w:val="00C23B31"/>
    <w:rsid w:val="00C23CC0"/>
    <w:rsid w:val="00C23E6C"/>
    <w:rsid w:val="00C249A4"/>
    <w:rsid w:val="00C250C7"/>
    <w:rsid w:val="00C25EC3"/>
    <w:rsid w:val="00C27436"/>
    <w:rsid w:val="00C27FB5"/>
    <w:rsid w:val="00C30F76"/>
    <w:rsid w:val="00C30FAA"/>
    <w:rsid w:val="00C31019"/>
    <w:rsid w:val="00C31D43"/>
    <w:rsid w:val="00C3234F"/>
    <w:rsid w:val="00C3237E"/>
    <w:rsid w:val="00C32E94"/>
    <w:rsid w:val="00C33666"/>
    <w:rsid w:val="00C34340"/>
    <w:rsid w:val="00C34424"/>
    <w:rsid w:val="00C37005"/>
    <w:rsid w:val="00C3711F"/>
    <w:rsid w:val="00C37B23"/>
    <w:rsid w:val="00C37C0A"/>
    <w:rsid w:val="00C408D4"/>
    <w:rsid w:val="00C40ADD"/>
    <w:rsid w:val="00C42728"/>
    <w:rsid w:val="00C42827"/>
    <w:rsid w:val="00C42A1D"/>
    <w:rsid w:val="00C42D7C"/>
    <w:rsid w:val="00C42E08"/>
    <w:rsid w:val="00C430F6"/>
    <w:rsid w:val="00C4372A"/>
    <w:rsid w:val="00C43FC3"/>
    <w:rsid w:val="00C442AE"/>
    <w:rsid w:val="00C448F8"/>
    <w:rsid w:val="00C44DF0"/>
    <w:rsid w:val="00C45669"/>
    <w:rsid w:val="00C458F7"/>
    <w:rsid w:val="00C45D54"/>
    <w:rsid w:val="00C45E5C"/>
    <w:rsid w:val="00C46124"/>
    <w:rsid w:val="00C464BD"/>
    <w:rsid w:val="00C467D4"/>
    <w:rsid w:val="00C47D53"/>
    <w:rsid w:val="00C50487"/>
    <w:rsid w:val="00C50FD6"/>
    <w:rsid w:val="00C51B87"/>
    <w:rsid w:val="00C51BA8"/>
    <w:rsid w:val="00C52586"/>
    <w:rsid w:val="00C52B15"/>
    <w:rsid w:val="00C532B1"/>
    <w:rsid w:val="00C5346B"/>
    <w:rsid w:val="00C54093"/>
    <w:rsid w:val="00C54E82"/>
    <w:rsid w:val="00C55379"/>
    <w:rsid w:val="00C55701"/>
    <w:rsid w:val="00C563B1"/>
    <w:rsid w:val="00C6060C"/>
    <w:rsid w:val="00C62194"/>
    <w:rsid w:val="00C62AAE"/>
    <w:rsid w:val="00C634F5"/>
    <w:rsid w:val="00C6358E"/>
    <w:rsid w:val="00C63EBD"/>
    <w:rsid w:val="00C65DAF"/>
    <w:rsid w:val="00C67571"/>
    <w:rsid w:val="00C678A0"/>
    <w:rsid w:val="00C67BBA"/>
    <w:rsid w:val="00C7081F"/>
    <w:rsid w:val="00C70947"/>
    <w:rsid w:val="00C70EA0"/>
    <w:rsid w:val="00C73271"/>
    <w:rsid w:val="00C73E78"/>
    <w:rsid w:val="00C755CB"/>
    <w:rsid w:val="00C7691D"/>
    <w:rsid w:val="00C77F77"/>
    <w:rsid w:val="00C801F7"/>
    <w:rsid w:val="00C80ACB"/>
    <w:rsid w:val="00C8164C"/>
    <w:rsid w:val="00C81BB6"/>
    <w:rsid w:val="00C82061"/>
    <w:rsid w:val="00C82375"/>
    <w:rsid w:val="00C82F0E"/>
    <w:rsid w:val="00C8331D"/>
    <w:rsid w:val="00C838D2"/>
    <w:rsid w:val="00C8685F"/>
    <w:rsid w:val="00C86B5B"/>
    <w:rsid w:val="00C90DE5"/>
    <w:rsid w:val="00C90EBB"/>
    <w:rsid w:val="00C910CB"/>
    <w:rsid w:val="00C92908"/>
    <w:rsid w:val="00C937F9"/>
    <w:rsid w:val="00C94904"/>
    <w:rsid w:val="00C94B45"/>
    <w:rsid w:val="00C94CCA"/>
    <w:rsid w:val="00C953C6"/>
    <w:rsid w:val="00C9540B"/>
    <w:rsid w:val="00C95C90"/>
    <w:rsid w:val="00C96258"/>
    <w:rsid w:val="00C975E9"/>
    <w:rsid w:val="00C97B01"/>
    <w:rsid w:val="00C97D2E"/>
    <w:rsid w:val="00CA0CF7"/>
    <w:rsid w:val="00CA0FC7"/>
    <w:rsid w:val="00CA1FE0"/>
    <w:rsid w:val="00CA2848"/>
    <w:rsid w:val="00CA2858"/>
    <w:rsid w:val="00CA33FB"/>
    <w:rsid w:val="00CA3843"/>
    <w:rsid w:val="00CA4312"/>
    <w:rsid w:val="00CA4D4A"/>
    <w:rsid w:val="00CA5117"/>
    <w:rsid w:val="00CA57DD"/>
    <w:rsid w:val="00CA7597"/>
    <w:rsid w:val="00CA7C21"/>
    <w:rsid w:val="00CB065A"/>
    <w:rsid w:val="00CB0965"/>
    <w:rsid w:val="00CB1024"/>
    <w:rsid w:val="00CB1C2E"/>
    <w:rsid w:val="00CB32B1"/>
    <w:rsid w:val="00CB3AE7"/>
    <w:rsid w:val="00CB61C6"/>
    <w:rsid w:val="00CB6AC7"/>
    <w:rsid w:val="00CB6FED"/>
    <w:rsid w:val="00CB7DD7"/>
    <w:rsid w:val="00CC1F51"/>
    <w:rsid w:val="00CC39BF"/>
    <w:rsid w:val="00CC5E09"/>
    <w:rsid w:val="00CC6597"/>
    <w:rsid w:val="00CC664D"/>
    <w:rsid w:val="00CC7523"/>
    <w:rsid w:val="00CD16D1"/>
    <w:rsid w:val="00CD2545"/>
    <w:rsid w:val="00CD2670"/>
    <w:rsid w:val="00CD2C80"/>
    <w:rsid w:val="00CD2F8A"/>
    <w:rsid w:val="00CD34FF"/>
    <w:rsid w:val="00CD54B6"/>
    <w:rsid w:val="00CD6153"/>
    <w:rsid w:val="00CD638E"/>
    <w:rsid w:val="00CD688C"/>
    <w:rsid w:val="00CD6C51"/>
    <w:rsid w:val="00CD76A7"/>
    <w:rsid w:val="00CD7710"/>
    <w:rsid w:val="00CD78A4"/>
    <w:rsid w:val="00CE0D3E"/>
    <w:rsid w:val="00CE1196"/>
    <w:rsid w:val="00CE1459"/>
    <w:rsid w:val="00CE177F"/>
    <w:rsid w:val="00CE1D10"/>
    <w:rsid w:val="00CE22BF"/>
    <w:rsid w:val="00CE22F6"/>
    <w:rsid w:val="00CE2783"/>
    <w:rsid w:val="00CE2D20"/>
    <w:rsid w:val="00CE2DA4"/>
    <w:rsid w:val="00CE4E0E"/>
    <w:rsid w:val="00CE7EF8"/>
    <w:rsid w:val="00CF00E3"/>
    <w:rsid w:val="00CF38DC"/>
    <w:rsid w:val="00CF552B"/>
    <w:rsid w:val="00CF5C10"/>
    <w:rsid w:val="00CF6469"/>
    <w:rsid w:val="00CF686F"/>
    <w:rsid w:val="00CF7A48"/>
    <w:rsid w:val="00D0119C"/>
    <w:rsid w:val="00D0128D"/>
    <w:rsid w:val="00D0228A"/>
    <w:rsid w:val="00D02AB7"/>
    <w:rsid w:val="00D037C8"/>
    <w:rsid w:val="00D03FC1"/>
    <w:rsid w:val="00D1070F"/>
    <w:rsid w:val="00D10B24"/>
    <w:rsid w:val="00D11B90"/>
    <w:rsid w:val="00D1381B"/>
    <w:rsid w:val="00D13F58"/>
    <w:rsid w:val="00D147A0"/>
    <w:rsid w:val="00D150F1"/>
    <w:rsid w:val="00D16439"/>
    <w:rsid w:val="00D174FC"/>
    <w:rsid w:val="00D20050"/>
    <w:rsid w:val="00D203FD"/>
    <w:rsid w:val="00D20768"/>
    <w:rsid w:val="00D21672"/>
    <w:rsid w:val="00D2482F"/>
    <w:rsid w:val="00D25405"/>
    <w:rsid w:val="00D25868"/>
    <w:rsid w:val="00D268F3"/>
    <w:rsid w:val="00D26D83"/>
    <w:rsid w:val="00D27424"/>
    <w:rsid w:val="00D2767B"/>
    <w:rsid w:val="00D27FD8"/>
    <w:rsid w:val="00D27FE6"/>
    <w:rsid w:val="00D30E8A"/>
    <w:rsid w:val="00D31071"/>
    <w:rsid w:val="00D312EA"/>
    <w:rsid w:val="00D317A8"/>
    <w:rsid w:val="00D34C36"/>
    <w:rsid w:val="00D35169"/>
    <w:rsid w:val="00D375D5"/>
    <w:rsid w:val="00D400CC"/>
    <w:rsid w:val="00D40FF5"/>
    <w:rsid w:val="00D41A1C"/>
    <w:rsid w:val="00D42420"/>
    <w:rsid w:val="00D45069"/>
    <w:rsid w:val="00D461F6"/>
    <w:rsid w:val="00D469E1"/>
    <w:rsid w:val="00D46DF9"/>
    <w:rsid w:val="00D47133"/>
    <w:rsid w:val="00D50D40"/>
    <w:rsid w:val="00D51019"/>
    <w:rsid w:val="00D51D49"/>
    <w:rsid w:val="00D52B98"/>
    <w:rsid w:val="00D52D49"/>
    <w:rsid w:val="00D55125"/>
    <w:rsid w:val="00D561BE"/>
    <w:rsid w:val="00D56908"/>
    <w:rsid w:val="00D56BEB"/>
    <w:rsid w:val="00D571BF"/>
    <w:rsid w:val="00D609A8"/>
    <w:rsid w:val="00D61CDC"/>
    <w:rsid w:val="00D62168"/>
    <w:rsid w:val="00D628D4"/>
    <w:rsid w:val="00D64CE0"/>
    <w:rsid w:val="00D6608D"/>
    <w:rsid w:val="00D70D29"/>
    <w:rsid w:val="00D71120"/>
    <w:rsid w:val="00D71480"/>
    <w:rsid w:val="00D72258"/>
    <w:rsid w:val="00D72315"/>
    <w:rsid w:val="00D72DD2"/>
    <w:rsid w:val="00D738E1"/>
    <w:rsid w:val="00D7400C"/>
    <w:rsid w:val="00D74139"/>
    <w:rsid w:val="00D742A8"/>
    <w:rsid w:val="00D744C4"/>
    <w:rsid w:val="00D7599F"/>
    <w:rsid w:val="00D75AA5"/>
    <w:rsid w:val="00D7660C"/>
    <w:rsid w:val="00D76939"/>
    <w:rsid w:val="00D77172"/>
    <w:rsid w:val="00D7747E"/>
    <w:rsid w:val="00D77A4B"/>
    <w:rsid w:val="00D77C18"/>
    <w:rsid w:val="00D80256"/>
    <w:rsid w:val="00D8040E"/>
    <w:rsid w:val="00D81222"/>
    <w:rsid w:val="00D81872"/>
    <w:rsid w:val="00D8247E"/>
    <w:rsid w:val="00D8314C"/>
    <w:rsid w:val="00D835B8"/>
    <w:rsid w:val="00D83937"/>
    <w:rsid w:val="00D83B6B"/>
    <w:rsid w:val="00D83E79"/>
    <w:rsid w:val="00D840E5"/>
    <w:rsid w:val="00D86B1F"/>
    <w:rsid w:val="00D87C10"/>
    <w:rsid w:val="00D87E3C"/>
    <w:rsid w:val="00D904B2"/>
    <w:rsid w:val="00D90804"/>
    <w:rsid w:val="00D90AB8"/>
    <w:rsid w:val="00D90E90"/>
    <w:rsid w:val="00D92798"/>
    <w:rsid w:val="00D92A60"/>
    <w:rsid w:val="00D933E8"/>
    <w:rsid w:val="00D93710"/>
    <w:rsid w:val="00D94059"/>
    <w:rsid w:val="00D94645"/>
    <w:rsid w:val="00D94ED6"/>
    <w:rsid w:val="00D971A3"/>
    <w:rsid w:val="00D97FD4"/>
    <w:rsid w:val="00DA1302"/>
    <w:rsid w:val="00DA2E44"/>
    <w:rsid w:val="00DA34A1"/>
    <w:rsid w:val="00DA3844"/>
    <w:rsid w:val="00DA4928"/>
    <w:rsid w:val="00DA4DDF"/>
    <w:rsid w:val="00DA5858"/>
    <w:rsid w:val="00DA627C"/>
    <w:rsid w:val="00DB0425"/>
    <w:rsid w:val="00DB05BC"/>
    <w:rsid w:val="00DB19FD"/>
    <w:rsid w:val="00DB2D0C"/>
    <w:rsid w:val="00DB3F14"/>
    <w:rsid w:val="00DB4E21"/>
    <w:rsid w:val="00DB58DC"/>
    <w:rsid w:val="00DB6474"/>
    <w:rsid w:val="00DB6D01"/>
    <w:rsid w:val="00DC06D1"/>
    <w:rsid w:val="00DC088A"/>
    <w:rsid w:val="00DC138A"/>
    <w:rsid w:val="00DC30D7"/>
    <w:rsid w:val="00DC5348"/>
    <w:rsid w:val="00DC5DB3"/>
    <w:rsid w:val="00DC5DF4"/>
    <w:rsid w:val="00DC706B"/>
    <w:rsid w:val="00DC71CF"/>
    <w:rsid w:val="00DC73B5"/>
    <w:rsid w:val="00DC7928"/>
    <w:rsid w:val="00DC7FA0"/>
    <w:rsid w:val="00DD2527"/>
    <w:rsid w:val="00DD41DD"/>
    <w:rsid w:val="00DD5059"/>
    <w:rsid w:val="00DD514F"/>
    <w:rsid w:val="00DD5983"/>
    <w:rsid w:val="00DD6F6A"/>
    <w:rsid w:val="00DE05E3"/>
    <w:rsid w:val="00DE0DBA"/>
    <w:rsid w:val="00DE0EF8"/>
    <w:rsid w:val="00DE4935"/>
    <w:rsid w:val="00DE4C9E"/>
    <w:rsid w:val="00DE59F5"/>
    <w:rsid w:val="00DE6A58"/>
    <w:rsid w:val="00DE74BA"/>
    <w:rsid w:val="00DE7E7B"/>
    <w:rsid w:val="00DF0B95"/>
    <w:rsid w:val="00DF1CFC"/>
    <w:rsid w:val="00DF256D"/>
    <w:rsid w:val="00DF3E8A"/>
    <w:rsid w:val="00DF4AB2"/>
    <w:rsid w:val="00DF4BA4"/>
    <w:rsid w:val="00DF4DDA"/>
    <w:rsid w:val="00DF515D"/>
    <w:rsid w:val="00DF5828"/>
    <w:rsid w:val="00DF585B"/>
    <w:rsid w:val="00DF596F"/>
    <w:rsid w:val="00DF6153"/>
    <w:rsid w:val="00E0098A"/>
    <w:rsid w:val="00E00D12"/>
    <w:rsid w:val="00E0102A"/>
    <w:rsid w:val="00E01725"/>
    <w:rsid w:val="00E01F1E"/>
    <w:rsid w:val="00E02D63"/>
    <w:rsid w:val="00E03C91"/>
    <w:rsid w:val="00E03F5A"/>
    <w:rsid w:val="00E041BD"/>
    <w:rsid w:val="00E04676"/>
    <w:rsid w:val="00E106DE"/>
    <w:rsid w:val="00E13316"/>
    <w:rsid w:val="00E13631"/>
    <w:rsid w:val="00E136CF"/>
    <w:rsid w:val="00E1393D"/>
    <w:rsid w:val="00E14BBB"/>
    <w:rsid w:val="00E14C04"/>
    <w:rsid w:val="00E16038"/>
    <w:rsid w:val="00E16607"/>
    <w:rsid w:val="00E17C7D"/>
    <w:rsid w:val="00E20908"/>
    <w:rsid w:val="00E2170A"/>
    <w:rsid w:val="00E21775"/>
    <w:rsid w:val="00E23E58"/>
    <w:rsid w:val="00E23EFD"/>
    <w:rsid w:val="00E26F7B"/>
    <w:rsid w:val="00E2746E"/>
    <w:rsid w:val="00E30BCB"/>
    <w:rsid w:val="00E32590"/>
    <w:rsid w:val="00E32A82"/>
    <w:rsid w:val="00E33270"/>
    <w:rsid w:val="00E33D83"/>
    <w:rsid w:val="00E34643"/>
    <w:rsid w:val="00E35A78"/>
    <w:rsid w:val="00E36A65"/>
    <w:rsid w:val="00E41A2B"/>
    <w:rsid w:val="00E420E7"/>
    <w:rsid w:val="00E428AF"/>
    <w:rsid w:val="00E430BD"/>
    <w:rsid w:val="00E43580"/>
    <w:rsid w:val="00E43CD1"/>
    <w:rsid w:val="00E4517B"/>
    <w:rsid w:val="00E458C5"/>
    <w:rsid w:val="00E45C3C"/>
    <w:rsid w:val="00E45D97"/>
    <w:rsid w:val="00E4624F"/>
    <w:rsid w:val="00E4629B"/>
    <w:rsid w:val="00E46375"/>
    <w:rsid w:val="00E478E7"/>
    <w:rsid w:val="00E50615"/>
    <w:rsid w:val="00E50639"/>
    <w:rsid w:val="00E50795"/>
    <w:rsid w:val="00E5079F"/>
    <w:rsid w:val="00E50D4A"/>
    <w:rsid w:val="00E53526"/>
    <w:rsid w:val="00E5493F"/>
    <w:rsid w:val="00E5566F"/>
    <w:rsid w:val="00E56798"/>
    <w:rsid w:val="00E61A71"/>
    <w:rsid w:val="00E61B89"/>
    <w:rsid w:val="00E62D78"/>
    <w:rsid w:val="00E64842"/>
    <w:rsid w:val="00E64D7E"/>
    <w:rsid w:val="00E65936"/>
    <w:rsid w:val="00E66AE4"/>
    <w:rsid w:val="00E672EC"/>
    <w:rsid w:val="00E71234"/>
    <w:rsid w:val="00E71F84"/>
    <w:rsid w:val="00E72187"/>
    <w:rsid w:val="00E72EE2"/>
    <w:rsid w:val="00E731DE"/>
    <w:rsid w:val="00E748D8"/>
    <w:rsid w:val="00E75136"/>
    <w:rsid w:val="00E820AE"/>
    <w:rsid w:val="00E830E0"/>
    <w:rsid w:val="00E84BDF"/>
    <w:rsid w:val="00E85A10"/>
    <w:rsid w:val="00E867ED"/>
    <w:rsid w:val="00E872C0"/>
    <w:rsid w:val="00E91113"/>
    <w:rsid w:val="00E92988"/>
    <w:rsid w:val="00E929AF"/>
    <w:rsid w:val="00E92A6D"/>
    <w:rsid w:val="00E93B20"/>
    <w:rsid w:val="00E93FD0"/>
    <w:rsid w:val="00E94EE6"/>
    <w:rsid w:val="00E95BAE"/>
    <w:rsid w:val="00E95BF2"/>
    <w:rsid w:val="00E969EF"/>
    <w:rsid w:val="00E96F2D"/>
    <w:rsid w:val="00E97433"/>
    <w:rsid w:val="00E97ABA"/>
    <w:rsid w:val="00EA01AD"/>
    <w:rsid w:val="00EA1400"/>
    <w:rsid w:val="00EA1449"/>
    <w:rsid w:val="00EA1666"/>
    <w:rsid w:val="00EA1D26"/>
    <w:rsid w:val="00EA1FAA"/>
    <w:rsid w:val="00EA2052"/>
    <w:rsid w:val="00EA3B07"/>
    <w:rsid w:val="00EA4C16"/>
    <w:rsid w:val="00EA5FBC"/>
    <w:rsid w:val="00EA6510"/>
    <w:rsid w:val="00EA6EA6"/>
    <w:rsid w:val="00EA7973"/>
    <w:rsid w:val="00EA7F55"/>
    <w:rsid w:val="00EB028E"/>
    <w:rsid w:val="00EB0405"/>
    <w:rsid w:val="00EB249D"/>
    <w:rsid w:val="00EB2819"/>
    <w:rsid w:val="00EB38EA"/>
    <w:rsid w:val="00EB6AAD"/>
    <w:rsid w:val="00EB6BD9"/>
    <w:rsid w:val="00EB6FA5"/>
    <w:rsid w:val="00EB7B82"/>
    <w:rsid w:val="00EC0332"/>
    <w:rsid w:val="00EC055B"/>
    <w:rsid w:val="00EC096D"/>
    <w:rsid w:val="00EC0B35"/>
    <w:rsid w:val="00EC0E57"/>
    <w:rsid w:val="00EC102E"/>
    <w:rsid w:val="00EC2028"/>
    <w:rsid w:val="00EC21F2"/>
    <w:rsid w:val="00EC23E6"/>
    <w:rsid w:val="00EC2F92"/>
    <w:rsid w:val="00EC38D0"/>
    <w:rsid w:val="00EC4B7D"/>
    <w:rsid w:val="00EC5206"/>
    <w:rsid w:val="00EC5495"/>
    <w:rsid w:val="00EC5983"/>
    <w:rsid w:val="00EC7046"/>
    <w:rsid w:val="00ED1A1A"/>
    <w:rsid w:val="00ED1D1A"/>
    <w:rsid w:val="00ED27A0"/>
    <w:rsid w:val="00ED54A0"/>
    <w:rsid w:val="00ED5EB0"/>
    <w:rsid w:val="00ED64CA"/>
    <w:rsid w:val="00ED652C"/>
    <w:rsid w:val="00ED6DB1"/>
    <w:rsid w:val="00EE0CC1"/>
    <w:rsid w:val="00EE2C2D"/>
    <w:rsid w:val="00EE2CF0"/>
    <w:rsid w:val="00EE432C"/>
    <w:rsid w:val="00EE4A9C"/>
    <w:rsid w:val="00EE5BD4"/>
    <w:rsid w:val="00EE5C30"/>
    <w:rsid w:val="00EE6000"/>
    <w:rsid w:val="00EE6002"/>
    <w:rsid w:val="00EE6A8E"/>
    <w:rsid w:val="00EF04DF"/>
    <w:rsid w:val="00EF0982"/>
    <w:rsid w:val="00EF1A9E"/>
    <w:rsid w:val="00EF2247"/>
    <w:rsid w:val="00EF3A36"/>
    <w:rsid w:val="00EF3D30"/>
    <w:rsid w:val="00EF49CF"/>
    <w:rsid w:val="00EF54D2"/>
    <w:rsid w:val="00EF6CED"/>
    <w:rsid w:val="00EF7972"/>
    <w:rsid w:val="00F01890"/>
    <w:rsid w:val="00F022D8"/>
    <w:rsid w:val="00F03C03"/>
    <w:rsid w:val="00F03ED8"/>
    <w:rsid w:val="00F03F35"/>
    <w:rsid w:val="00F058EF"/>
    <w:rsid w:val="00F05DA0"/>
    <w:rsid w:val="00F06492"/>
    <w:rsid w:val="00F068A2"/>
    <w:rsid w:val="00F0742D"/>
    <w:rsid w:val="00F11400"/>
    <w:rsid w:val="00F128FB"/>
    <w:rsid w:val="00F12F1C"/>
    <w:rsid w:val="00F138DF"/>
    <w:rsid w:val="00F13906"/>
    <w:rsid w:val="00F13ED1"/>
    <w:rsid w:val="00F15335"/>
    <w:rsid w:val="00F16B67"/>
    <w:rsid w:val="00F1753A"/>
    <w:rsid w:val="00F20178"/>
    <w:rsid w:val="00F209D1"/>
    <w:rsid w:val="00F21285"/>
    <w:rsid w:val="00F21628"/>
    <w:rsid w:val="00F2298F"/>
    <w:rsid w:val="00F23393"/>
    <w:rsid w:val="00F23AA0"/>
    <w:rsid w:val="00F26392"/>
    <w:rsid w:val="00F26450"/>
    <w:rsid w:val="00F27A3E"/>
    <w:rsid w:val="00F27D09"/>
    <w:rsid w:val="00F27DF8"/>
    <w:rsid w:val="00F27F59"/>
    <w:rsid w:val="00F330DF"/>
    <w:rsid w:val="00F33445"/>
    <w:rsid w:val="00F35007"/>
    <w:rsid w:val="00F352D7"/>
    <w:rsid w:val="00F36F2F"/>
    <w:rsid w:val="00F3733E"/>
    <w:rsid w:val="00F411CC"/>
    <w:rsid w:val="00F42A47"/>
    <w:rsid w:val="00F42B11"/>
    <w:rsid w:val="00F447A2"/>
    <w:rsid w:val="00F44E53"/>
    <w:rsid w:val="00F45696"/>
    <w:rsid w:val="00F45784"/>
    <w:rsid w:val="00F4790F"/>
    <w:rsid w:val="00F509DF"/>
    <w:rsid w:val="00F50B10"/>
    <w:rsid w:val="00F52A31"/>
    <w:rsid w:val="00F52CCB"/>
    <w:rsid w:val="00F546FC"/>
    <w:rsid w:val="00F54B0A"/>
    <w:rsid w:val="00F55446"/>
    <w:rsid w:val="00F55871"/>
    <w:rsid w:val="00F56B25"/>
    <w:rsid w:val="00F57094"/>
    <w:rsid w:val="00F575B9"/>
    <w:rsid w:val="00F57E83"/>
    <w:rsid w:val="00F60050"/>
    <w:rsid w:val="00F60580"/>
    <w:rsid w:val="00F6095B"/>
    <w:rsid w:val="00F61310"/>
    <w:rsid w:val="00F616A3"/>
    <w:rsid w:val="00F6195F"/>
    <w:rsid w:val="00F61D07"/>
    <w:rsid w:val="00F62986"/>
    <w:rsid w:val="00F62B5E"/>
    <w:rsid w:val="00F6424F"/>
    <w:rsid w:val="00F64E37"/>
    <w:rsid w:val="00F6529F"/>
    <w:rsid w:val="00F6568C"/>
    <w:rsid w:val="00F65EB8"/>
    <w:rsid w:val="00F66669"/>
    <w:rsid w:val="00F672FF"/>
    <w:rsid w:val="00F674FB"/>
    <w:rsid w:val="00F7034C"/>
    <w:rsid w:val="00F7057B"/>
    <w:rsid w:val="00F70C33"/>
    <w:rsid w:val="00F71374"/>
    <w:rsid w:val="00F7148C"/>
    <w:rsid w:val="00F74662"/>
    <w:rsid w:val="00F750FA"/>
    <w:rsid w:val="00F77968"/>
    <w:rsid w:val="00F804DC"/>
    <w:rsid w:val="00F823DF"/>
    <w:rsid w:val="00F826E8"/>
    <w:rsid w:val="00F82D35"/>
    <w:rsid w:val="00F82D39"/>
    <w:rsid w:val="00F83516"/>
    <w:rsid w:val="00F835D2"/>
    <w:rsid w:val="00F83B5A"/>
    <w:rsid w:val="00F8583C"/>
    <w:rsid w:val="00F862C8"/>
    <w:rsid w:val="00F86302"/>
    <w:rsid w:val="00F86A68"/>
    <w:rsid w:val="00F87B2A"/>
    <w:rsid w:val="00F87D6C"/>
    <w:rsid w:val="00F900FE"/>
    <w:rsid w:val="00F90813"/>
    <w:rsid w:val="00F90D29"/>
    <w:rsid w:val="00F90EE2"/>
    <w:rsid w:val="00F91AAD"/>
    <w:rsid w:val="00F920CD"/>
    <w:rsid w:val="00F932B9"/>
    <w:rsid w:val="00F9424C"/>
    <w:rsid w:val="00F957D1"/>
    <w:rsid w:val="00F96330"/>
    <w:rsid w:val="00F9675E"/>
    <w:rsid w:val="00FA108C"/>
    <w:rsid w:val="00FA2FCE"/>
    <w:rsid w:val="00FA3AD1"/>
    <w:rsid w:val="00FA3BC4"/>
    <w:rsid w:val="00FA46EF"/>
    <w:rsid w:val="00FA4F96"/>
    <w:rsid w:val="00FA6BF9"/>
    <w:rsid w:val="00FA6F65"/>
    <w:rsid w:val="00FA7855"/>
    <w:rsid w:val="00FB0589"/>
    <w:rsid w:val="00FB0C93"/>
    <w:rsid w:val="00FB0CB9"/>
    <w:rsid w:val="00FB0D17"/>
    <w:rsid w:val="00FB1093"/>
    <w:rsid w:val="00FB1472"/>
    <w:rsid w:val="00FB2055"/>
    <w:rsid w:val="00FB38BA"/>
    <w:rsid w:val="00FB3E2C"/>
    <w:rsid w:val="00FB404C"/>
    <w:rsid w:val="00FB46FC"/>
    <w:rsid w:val="00FB529D"/>
    <w:rsid w:val="00FB637F"/>
    <w:rsid w:val="00FB691F"/>
    <w:rsid w:val="00FB72F8"/>
    <w:rsid w:val="00FC04FE"/>
    <w:rsid w:val="00FC0C64"/>
    <w:rsid w:val="00FC140B"/>
    <w:rsid w:val="00FC243F"/>
    <w:rsid w:val="00FC2BF7"/>
    <w:rsid w:val="00FC3992"/>
    <w:rsid w:val="00FC44CC"/>
    <w:rsid w:val="00FC49E5"/>
    <w:rsid w:val="00FC4BDD"/>
    <w:rsid w:val="00FC5A1D"/>
    <w:rsid w:val="00FC6375"/>
    <w:rsid w:val="00FC79BE"/>
    <w:rsid w:val="00FD04FA"/>
    <w:rsid w:val="00FD09E0"/>
    <w:rsid w:val="00FD0E7E"/>
    <w:rsid w:val="00FD1E28"/>
    <w:rsid w:val="00FD2951"/>
    <w:rsid w:val="00FD2DE7"/>
    <w:rsid w:val="00FD6277"/>
    <w:rsid w:val="00FE0777"/>
    <w:rsid w:val="00FE2182"/>
    <w:rsid w:val="00FE238A"/>
    <w:rsid w:val="00FE4432"/>
    <w:rsid w:val="00FE452A"/>
    <w:rsid w:val="00FE5627"/>
    <w:rsid w:val="00FE6504"/>
    <w:rsid w:val="00FF05D3"/>
    <w:rsid w:val="00FF07A2"/>
    <w:rsid w:val="00FF1152"/>
    <w:rsid w:val="00FF2298"/>
    <w:rsid w:val="00FF2D72"/>
    <w:rsid w:val="00FF41C4"/>
    <w:rsid w:val="00FF4217"/>
    <w:rsid w:val="00FF4B64"/>
    <w:rsid w:val="00FF4C3D"/>
    <w:rsid w:val="00FF6320"/>
    <w:rsid w:val="00FF6681"/>
    <w:rsid w:val="0246615C"/>
    <w:rsid w:val="082300AE"/>
    <w:rsid w:val="123F6FFE"/>
    <w:rsid w:val="1632AA88"/>
    <w:rsid w:val="1C04CF8B"/>
    <w:rsid w:val="1D4D54BC"/>
    <w:rsid w:val="21F37820"/>
    <w:rsid w:val="35EB3C37"/>
    <w:rsid w:val="36E8E745"/>
    <w:rsid w:val="3B83B787"/>
    <w:rsid w:val="3D13BE56"/>
    <w:rsid w:val="3DBFEF82"/>
    <w:rsid w:val="44F144AF"/>
    <w:rsid w:val="476CC649"/>
    <w:rsid w:val="482F330D"/>
    <w:rsid w:val="4C035F2B"/>
    <w:rsid w:val="4ED429F1"/>
    <w:rsid w:val="568C64B5"/>
    <w:rsid w:val="5A2693FF"/>
    <w:rsid w:val="5FA8D42E"/>
    <w:rsid w:val="6A24044E"/>
    <w:rsid w:val="6BA7505E"/>
    <w:rsid w:val="6C236F3F"/>
    <w:rsid w:val="73827659"/>
    <w:rsid w:val="771A4899"/>
    <w:rsid w:val="7A09BA11"/>
    <w:rsid w:val="7BCE1C09"/>
    <w:rsid w:val="7F4CD35D"/>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F98789"/>
  <w15:docId w15:val="{042A190B-99BB-4399-936F-C135389F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01FF5"/>
    <w:rPr>
      <w:sz w:val="24"/>
      <w:szCs w:val="24"/>
      <w:lang w:eastAsia="en-US"/>
    </w:rPr>
  </w:style>
  <w:style w:type="paragraph" w:styleId="Ttulo7">
    <w:name w:val="heading 7"/>
    <w:basedOn w:val="Normal"/>
    <w:next w:val="Normal"/>
    <w:link w:val="Ttulo7Car"/>
    <w:qFormat/>
    <w:rsid w:val="00D8247E"/>
    <w:pPr>
      <w:keepNext/>
      <w:jc w:val="center"/>
      <w:outlineLvl w:val="6"/>
    </w:pPr>
    <w:rPr>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8247E"/>
    <w:rPr>
      <w:sz w:val="28"/>
      <w:szCs w:val="20"/>
      <w:lang w:eastAsia="es-ES"/>
    </w:rPr>
  </w:style>
  <w:style w:type="paragraph" w:styleId="Textoindependiente3">
    <w:name w:val="Body Text 3"/>
    <w:basedOn w:val="Normal"/>
    <w:link w:val="Textoindependiente3Car"/>
    <w:rsid w:val="00D8247E"/>
    <w:pPr>
      <w:jc w:val="both"/>
    </w:pPr>
    <w:rPr>
      <w:rFonts w:ascii="Arial" w:hAnsi="Arial"/>
      <w:sz w:val="22"/>
      <w:szCs w:val="20"/>
      <w:lang w:eastAsia="es-ES"/>
    </w:rPr>
  </w:style>
  <w:style w:type="character" w:customStyle="1" w:styleId="Textoindependiente3Car">
    <w:name w:val="Texto independiente 3 Car"/>
    <w:link w:val="Textoindependiente3"/>
    <w:rsid w:val="00AF6F90"/>
    <w:rPr>
      <w:rFonts w:ascii="Arial" w:hAnsi="Arial"/>
      <w:sz w:val="22"/>
      <w:lang w:val="es-ES" w:eastAsia="es-ES"/>
    </w:rPr>
  </w:style>
  <w:style w:type="paragraph" w:styleId="Encabezado">
    <w:name w:val="header"/>
    <w:basedOn w:val="Normal"/>
    <w:link w:val="EncabezadoCar"/>
    <w:rsid w:val="00D8247E"/>
    <w:pPr>
      <w:tabs>
        <w:tab w:val="center" w:pos="4252"/>
        <w:tab w:val="right" w:pos="8504"/>
      </w:tabs>
    </w:pPr>
    <w:rPr>
      <w:sz w:val="20"/>
      <w:szCs w:val="20"/>
      <w:lang w:eastAsia="es-ES"/>
    </w:rPr>
  </w:style>
  <w:style w:type="character" w:customStyle="1" w:styleId="EncabezadoCar">
    <w:name w:val="Encabezado Car"/>
    <w:link w:val="Encabezado"/>
    <w:rsid w:val="004B335B"/>
    <w:rPr>
      <w:lang w:val="es-ES" w:eastAsia="es-ES"/>
    </w:rPr>
  </w:style>
  <w:style w:type="paragraph" w:styleId="Piedepgina">
    <w:name w:val="footer"/>
    <w:basedOn w:val="Normal"/>
    <w:link w:val="PiedepginaCar"/>
    <w:uiPriority w:val="99"/>
    <w:rsid w:val="00D8247E"/>
    <w:pPr>
      <w:tabs>
        <w:tab w:val="center" w:pos="4252"/>
        <w:tab w:val="right" w:pos="8504"/>
      </w:tabs>
    </w:pPr>
    <w:rPr>
      <w:lang w:eastAsia="es-ES"/>
    </w:rPr>
  </w:style>
  <w:style w:type="character" w:customStyle="1" w:styleId="PiedepginaCar">
    <w:name w:val="Pie de página Car"/>
    <w:link w:val="Piedepgina"/>
    <w:uiPriority w:val="99"/>
    <w:rsid w:val="00E93B20"/>
    <w:rPr>
      <w:sz w:val="24"/>
      <w:szCs w:val="24"/>
      <w:lang w:val="es-ES" w:eastAsia="es-ES"/>
    </w:rPr>
  </w:style>
  <w:style w:type="character" w:styleId="Nmerodepgina">
    <w:name w:val="page number"/>
    <w:basedOn w:val="Fuentedeprrafopredeter"/>
    <w:rsid w:val="00D8247E"/>
  </w:style>
  <w:style w:type="paragraph" w:styleId="Textodeglobo">
    <w:name w:val="Balloon Text"/>
    <w:basedOn w:val="Normal"/>
    <w:semiHidden/>
    <w:rsid w:val="00AB41B3"/>
    <w:rPr>
      <w:rFonts w:ascii="Tahoma" w:hAnsi="Tahoma" w:cs="Tahoma"/>
      <w:sz w:val="16"/>
      <w:szCs w:val="16"/>
      <w:lang w:eastAsia="es-ES"/>
    </w:rPr>
  </w:style>
  <w:style w:type="character" w:styleId="Hipervnculo">
    <w:name w:val="Hyperlink"/>
    <w:uiPriority w:val="99"/>
    <w:unhideWhenUsed/>
    <w:rsid w:val="002D6EC5"/>
    <w:rPr>
      <w:color w:val="0000FF"/>
      <w:u w:val="single"/>
    </w:rPr>
  </w:style>
  <w:style w:type="character" w:styleId="Refdecomentario">
    <w:name w:val="annotation reference"/>
    <w:uiPriority w:val="99"/>
    <w:rsid w:val="00E66AE4"/>
    <w:rPr>
      <w:sz w:val="16"/>
      <w:szCs w:val="16"/>
    </w:rPr>
  </w:style>
  <w:style w:type="paragraph" w:styleId="Textocomentario">
    <w:name w:val="annotation text"/>
    <w:basedOn w:val="Normal"/>
    <w:link w:val="TextocomentarioCar"/>
    <w:rsid w:val="00E66AE4"/>
    <w:rPr>
      <w:sz w:val="20"/>
      <w:szCs w:val="20"/>
      <w:lang w:eastAsia="es-ES"/>
    </w:rPr>
  </w:style>
  <w:style w:type="character" w:customStyle="1" w:styleId="TextocomentarioCar">
    <w:name w:val="Texto comentario Car"/>
    <w:basedOn w:val="Fuentedeprrafopredeter"/>
    <w:link w:val="Textocomentario"/>
    <w:rsid w:val="00E66AE4"/>
  </w:style>
  <w:style w:type="paragraph" w:styleId="Asuntodelcomentario">
    <w:name w:val="annotation subject"/>
    <w:basedOn w:val="Textocomentario"/>
    <w:next w:val="Textocomentario"/>
    <w:link w:val="AsuntodelcomentarioCar"/>
    <w:rsid w:val="00E66AE4"/>
    <w:rPr>
      <w:b/>
      <w:bCs/>
    </w:rPr>
  </w:style>
  <w:style w:type="character" w:customStyle="1" w:styleId="AsuntodelcomentarioCar">
    <w:name w:val="Asunto del comentario Car"/>
    <w:link w:val="Asuntodelcomentario"/>
    <w:rsid w:val="00E66AE4"/>
    <w:rPr>
      <w:b/>
      <w:bCs/>
    </w:rPr>
  </w:style>
  <w:style w:type="table" w:styleId="Tablaconcuadrcula">
    <w:name w:val="Table Grid"/>
    <w:basedOn w:val="Tablanormal"/>
    <w:rsid w:val="009D4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A1D0A"/>
    <w:pPr>
      <w:spacing w:before="100" w:beforeAutospacing="1" w:after="100" w:afterAutospacing="1"/>
    </w:pPr>
    <w:rPr>
      <w:lang w:eastAsia="es-CO"/>
    </w:rPr>
  </w:style>
  <w:style w:type="paragraph" w:styleId="NormalWeb">
    <w:name w:val="Normal (Web)"/>
    <w:basedOn w:val="Normal"/>
    <w:uiPriority w:val="99"/>
    <w:rsid w:val="004B335B"/>
    <w:pPr>
      <w:spacing w:before="100" w:beforeAutospacing="1" w:after="100" w:afterAutospacing="1"/>
    </w:pPr>
    <w:rPr>
      <w:lang w:eastAsia="es-ES"/>
    </w:rPr>
  </w:style>
  <w:style w:type="paragraph" w:styleId="Prrafodelista">
    <w:name w:val="List Paragraph"/>
    <w:basedOn w:val="Normal"/>
    <w:uiPriority w:val="34"/>
    <w:qFormat/>
    <w:rsid w:val="00292F58"/>
    <w:pPr>
      <w:ind w:left="720"/>
      <w:contextualSpacing/>
    </w:pPr>
    <w:rPr>
      <w:lang w:val="es-ES" w:eastAsia="es-ES"/>
    </w:rPr>
  </w:style>
  <w:style w:type="character" w:customStyle="1" w:styleId="Ttulo7Car">
    <w:name w:val="Título 7 Car"/>
    <w:basedOn w:val="Fuentedeprrafopredeter"/>
    <w:link w:val="Ttulo7"/>
    <w:rsid w:val="00292F58"/>
    <w:rPr>
      <w:b/>
      <w:lang w:eastAsia="es-ES"/>
    </w:rPr>
  </w:style>
  <w:style w:type="paragraph" w:styleId="Revisin">
    <w:name w:val="Revision"/>
    <w:hidden/>
    <w:uiPriority w:val="99"/>
    <w:semiHidden/>
    <w:rsid w:val="00C52586"/>
    <w:rPr>
      <w:sz w:val="24"/>
      <w:szCs w:val="24"/>
      <w:lang w:eastAsia="es-ES"/>
    </w:rPr>
  </w:style>
  <w:style w:type="character" w:customStyle="1" w:styleId="TextoindependienteCar">
    <w:name w:val="Texto independiente Car"/>
    <w:basedOn w:val="Fuentedeprrafopredeter"/>
    <w:link w:val="Textoindependiente"/>
    <w:rsid w:val="00D72DD2"/>
    <w:rPr>
      <w:sz w:val="28"/>
      <w:lang w:eastAsia="es-ES"/>
    </w:rPr>
  </w:style>
  <w:style w:type="character" w:customStyle="1" w:styleId="normaltextrun">
    <w:name w:val="normaltextrun"/>
    <w:basedOn w:val="Fuentedeprrafopredeter"/>
    <w:rsid w:val="00EC21F2"/>
  </w:style>
  <w:style w:type="character" w:customStyle="1" w:styleId="eop">
    <w:name w:val="eop"/>
    <w:basedOn w:val="Fuentedeprrafopredeter"/>
    <w:rsid w:val="00EC21F2"/>
  </w:style>
  <w:style w:type="character" w:customStyle="1" w:styleId="Mencinsinresolver1">
    <w:name w:val="Mención sin resolver1"/>
    <w:basedOn w:val="Fuentedeprrafopredeter"/>
    <w:rsid w:val="00623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7268">
      <w:bodyDiv w:val="1"/>
      <w:marLeft w:val="0"/>
      <w:marRight w:val="0"/>
      <w:marTop w:val="0"/>
      <w:marBottom w:val="0"/>
      <w:divBdr>
        <w:top w:val="none" w:sz="0" w:space="0" w:color="auto"/>
        <w:left w:val="none" w:sz="0" w:space="0" w:color="auto"/>
        <w:bottom w:val="none" w:sz="0" w:space="0" w:color="auto"/>
        <w:right w:val="none" w:sz="0" w:space="0" w:color="auto"/>
      </w:divBdr>
    </w:div>
    <w:div w:id="8339310">
      <w:bodyDiv w:val="1"/>
      <w:marLeft w:val="0"/>
      <w:marRight w:val="0"/>
      <w:marTop w:val="0"/>
      <w:marBottom w:val="0"/>
      <w:divBdr>
        <w:top w:val="none" w:sz="0" w:space="0" w:color="auto"/>
        <w:left w:val="none" w:sz="0" w:space="0" w:color="auto"/>
        <w:bottom w:val="none" w:sz="0" w:space="0" w:color="auto"/>
        <w:right w:val="none" w:sz="0" w:space="0" w:color="auto"/>
      </w:divBdr>
    </w:div>
    <w:div w:id="20670639">
      <w:bodyDiv w:val="1"/>
      <w:marLeft w:val="0"/>
      <w:marRight w:val="0"/>
      <w:marTop w:val="0"/>
      <w:marBottom w:val="0"/>
      <w:divBdr>
        <w:top w:val="none" w:sz="0" w:space="0" w:color="auto"/>
        <w:left w:val="none" w:sz="0" w:space="0" w:color="auto"/>
        <w:bottom w:val="none" w:sz="0" w:space="0" w:color="auto"/>
        <w:right w:val="none" w:sz="0" w:space="0" w:color="auto"/>
      </w:divBdr>
    </w:div>
    <w:div w:id="21591569">
      <w:bodyDiv w:val="1"/>
      <w:marLeft w:val="0"/>
      <w:marRight w:val="0"/>
      <w:marTop w:val="0"/>
      <w:marBottom w:val="0"/>
      <w:divBdr>
        <w:top w:val="none" w:sz="0" w:space="0" w:color="auto"/>
        <w:left w:val="none" w:sz="0" w:space="0" w:color="auto"/>
        <w:bottom w:val="none" w:sz="0" w:space="0" w:color="auto"/>
        <w:right w:val="none" w:sz="0" w:space="0" w:color="auto"/>
      </w:divBdr>
    </w:div>
    <w:div w:id="26413697">
      <w:bodyDiv w:val="1"/>
      <w:marLeft w:val="0"/>
      <w:marRight w:val="0"/>
      <w:marTop w:val="0"/>
      <w:marBottom w:val="0"/>
      <w:divBdr>
        <w:top w:val="none" w:sz="0" w:space="0" w:color="auto"/>
        <w:left w:val="none" w:sz="0" w:space="0" w:color="auto"/>
        <w:bottom w:val="none" w:sz="0" w:space="0" w:color="auto"/>
        <w:right w:val="none" w:sz="0" w:space="0" w:color="auto"/>
      </w:divBdr>
    </w:div>
    <w:div w:id="30154544">
      <w:bodyDiv w:val="1"/>
      <w:marLeft w:val="0"/>
      <w:marRight w:val="0"/>
      <w:marTop w:val="0"/>
      <w:marBottom w:val="0"/>
      <w:divBdr>
        <w:top w:val="none" w:sz="0" w:space="0" w:color="auto"/>
        <w:left w:val="none" w:sz="0" w:space="0" w:color="auto"/>
        <w:bottom w:val="none" w:sz="0" w:space="0" w:color="auto"/>
        <w:right w:val="none" w:sz="0" w:space="0" w:color="auto"/>
      </w:divBdr>
    </w:div>
    <w:div w:id="33777566">
      <w:bodyDiv w:val="1"/>
      <w:marLeft w:val="0"/>
      <w:marRight w:val="0"/>
      <w:marTop w:val="0"/>
      <w:marBottom w:val="0"/>
      <w:divBdr>
        <w:top w:val="none" w:sz="0" w:space="0" w:color="auto"/>
        <w:left w:val="none" w:sz="0" w:space="0" w:color="auto"/>
        <w:bottom w:val="none" w:sz="0" w:space="0" w:color="auto"/>
        <w:right w:val="none" w:sz="0" w:space="0" w:color="auto"/>
      </w:divBdr>
    </w:div>
    <w:div w:id="47651939">
      <w:bodyDiv w:val="1"/>
      <w:marLeft w:val="0"/>
      <w:marRight w:val="0"/>
      <w:marTop w:val="0"/>
      <w:marBottom w:val="0"/>
      <w:divBdr>
        <w:top w:val="none" w:sz="0" w:space="0" w:color="auto"/>
        <w:left w:val="none" w:sz="0" w:space="0" w:color="auto"/>
        <w:bottom w:val="none" w:sz="0" w:space="0" w:color="auto"/>
        <w:right w:val="none" w:sz="0" w:space="0" w:color="auto"/>
      </w:divBdr>
    </w:div>
    <w:div w:id="62528791">
      <w:bodyDiv w:val="1"/>
      <w:marLeft w:val="0"/>
      <w:marRight w:val="0"/>
      <w:marTop w:val="0"/>
      <w:marBottom w:val="0"/>
      <w:divBdr>
        <w:top w:val="none" w:sz="0" w:space="0" w:color="auto"/>
        <w:left w:val="none" w:sz="0" w:space="0" w:color="auto"/>
        <w:bottom w:val="none" w:sz="0" w:space="0" w:color="auto"/>
        <w:right w:val="none" w:sz="0" w:space="0" w:color="auto"/>
      </w:divBdr>
    </w:div>
    <w:div w:id="88817484">
      <w:bodyDiv w:val="1"/>
      <w:marLeft w:val="0"/>
      <w:marRight w:val="0"/>
      <w:marTop w:val="0"/>
      <w:marBottom w:val="0"/>
      <w:divBdr>
        <w:top w:val="none" w:sz="0" w:space="0" w:color="auto"/>
        <w:left w:val="none" w:sz="0" w:space="0" w:color="auto"/>
        <w:bottom w:val="none" w:sz="0" w:space="0" w:color="auto"/>
        <w:right w:val="none" w:sz="0" w:space="0" w:color="auto"/>
      </w:divBdr>
    </w:div>
    <w:div w:id="99835823">
      <w:bodyDiv w:val="1"/>
      <w:marLeft w:val="0"/>
      <w:marRight w:val="0"/>
      <w:marTop w:val="0"/>
      <w:marBottom w:val="0"/>
      <w:divBdr>
        <w:top w:val="none" w:sz="0" w:space="0" w:color="auto"/>
        <w:left w:val="none" w:sz="0" w:space="0" w:color="auto"/>
        <w:bottom w:val="none" w:sz="0" w:space="0" w:color="auto"/>
        <w:right w:val="none" w:sz="0" w:space="0" w:color="auto"/>
      </w:divBdr>
    </w:div>
    <w:div w:id="103573394">
      <w:bodyDiv w:val="1"/>
      <w:marLeft w:val="0"/>
      <w:marRight w:val="0"/>
      <w:marTop w:val="0"/>
      <w:marBottom w:val="0"/>
      <w:divBdr>
        <w:top w:val="none" w:sz="0" w:space="0" w:color="auto"/>
        <w:left w:val="none" w:sz="0" w:space="0" w:color="auto"/>
        <w:bottom w:val="none" w:sz="0" w:space="0" w:color="auto"/>
        <w:right w:val="none" w:sz="0" w:space="0" w:color="auto"/>
      </w:divBdr>
    </w:div>
    <w:div w:id="105734491">
      <w:bodyDiv w:val="1"/>
      <w:marLeft w:val="0"/>
      <w:marRight w:val="0"/>
      <w:marTop w:val="0"/>
      <w:marBottom w:val="0"/>
      <w:divBdr>
        <w:top w:val="none" w:sz="0" w:space="0" w:color="auto"/>
        <w:left w:val="none" w:sz="0" w:space="0" w:color="auto"/>
        <w:bottom w:val="none" w:sz="0" w:space="0" w:color="auto"/>
        <w:right w:val="none" w:sz="0" w:space="0" w:color="auto"/>
      </w:divBdr>
    </w:div>
    <w:div w:id="120728705">
      <w:bodyDiv w:val="1"/>
      <w:marLeft w:val="0"/>
      <w:marRight w:val="0"/>
      <w:marTop w:val="0"/>
      <w:marBottom w:val="0"/>
      <w:divBdr>
        <w:top w:val="none" w:sz="0" w:space="0" w:color="auto"/>
        <w:left w:val="none" w:sz="0" w:space="0" w:color="auto"/>
        <w:bottom w:val="none" w:sz="0" w:space="0" w:color="auto"/>
        <w:right w:val="none" w:sz="0" w:space="0" w:color="auto"/>
      </w:divBdr>
    </w:div>
    <w:div w:id="130488907">
      <w:bodyDiv w:val="1"/>
      <w:marLeft w:val="0"/>
      <w:marRight w:val="0"/>
      <w:marTop w:val="0"/>
      <w:marBottom w:val="0"/>
      <w:divBdr>
        <w:top w:val="none" w:sz="0" w:space="0" w:color="auto"/>
        <w:left w:val="none" w:sz="0" w:space="0" w:color="auto"/>
        <w:bottom w:val="none" w:sz="0" w:space="0" w:color="auto"/>
        <w:right w:val="none" w:sz="0" w:space="0" w:color="auto"/>
      </w:divBdr>
    </w:div>
    <w:div w:id="134107966">
      <w:bodyDiv w:val="1"/>
      <w:marLeft w:val="0"/>
      <w:marRight w:val="0"/>
      <w:marTop w:val="0"/>
      <w:marBottom w:val="0"/>
      <w:divBdr>
        <w:top w:val="none" w:sz="0" w:space="0" w:color="auto"/>
        <w:left w:val="none" w:sz="0" w:space="0" w:color="auto"/>
        <w:bottom w:val="none" w:sz="0" w:space="0" w:color="auto"/>
        <w:right w:val="none" w:sz="0" w:space="0" w:color="auto"/>
      </w:divBdr>
    </w:div>
    <w:div w:id="136801441">
      <w:bodyDiv w:val="1"/>
      <w:marLeft w:val="0"/>
      <w:marRight w:val="0"/>
      <w:marTop w:val="0"/>
      <w:marBottom w:val="0"/>
      <w:divBdr>
        <w:top w:val="none" w:sz="0" w:space="0" w:color="auto"/>
        <w:left w:val="none" w:sz="0" w:space="0" w:color="auto"/>
        <w:bottom w:val="none" w:sz="0" w:space="0" w:color="auto"/>
        <w:right w:val="none" w:sz="0" w:space="0" w:color="auto"/>
      </w:divBdr>
    </w:div>
    <w:div w:id="143745273">
      <w:bodyDiv w:val="1"/>
      <w:marLeft w:val="0"/>
      <w:marRight w:val="0"/>
      <w:marTop w:val="0"/>
      <w:marBottom w:val="0"/>
      <w:divBdr>
        <w:top w:val="none" w:sz="0" w:space="0" w:color="auto"/>
        <w:left w:val="none" w:sz="0" w:space="0" w:color="auto"/>
        <w:bottom w:val="none" w:sz="0" w:space="0" w:color="auto"/>
        <w:right w:val="none" w:sz="0" w:space="0" w:color="auto"/>
      </w:divBdr>
    </w:div>
    <w:div w:id="163127583">
      <w:bodyDiv w:val="1"/>
      <w:marLeft w:val="0"/>
      <w:marRight w:val="0"/>
      <w:marTop w:val="0"/>
      <w:marBottom w:val="0"/>
      <w:divBdr>
        <w:top w:val="none" w:sz="0" w:space="0" w:color="auto"/>
        <w:left w:val="none" w:sz="0" w:space="0" w:color="auto"/>
        <w:bottom w:val="none" w:sz="0" w:space="0" w:color="auto"/>
        <w:right w:val="none" w:sz="0" w:space="0" w:color="auto"/>
      </w:divBdr>
    </w:div>
    <w:div w:id="163129560">
      <w:bodyDiv w:val="1"/>
      <w:marLeft w:val="0"/>
      <w:marRight w:val="0"/>
      <w:marTop w:val="0"/>
      <w:marBottom w:val="0"/>
      <w:divBdr>
        <w:top w:val="none" w:sz="0" w:space="0" w:color="auto"/>
        <w:left w:val="none" w:sz="0" w:space="0" w:color="auto"/>
        <w:bottom w:val="none" w:sz="0" w:space="0" w:color="auto"/>
        <w:right w:val="none" w:sz="0" w:space="0" w:color="auto"/>
      </w:divBdr>
    </w:div>
    <w:div w:id="181743554">
      <w:bodyDiv w:val="1"/>
      <w:marLeft w:val="0"/>
      <w:marRight w:val="0"/>
      <w:marTop w:val="0"/>
      <w:marBottom w:val="0"/>
      <w:divBdr>
        <w:top w:val="none" w:sz="0" w:space="0" w:color="auto"/>
        <w:left w:val="none" w:sz="0" w:space="0" w:color="auto"/>
        <w:bottom w:val="none" w:sz="0" w:space="0" w:color="auto"/>
        <w:right w:val="none" w:sz="0" w:space="0" w:color="auto"/>
      </w:divBdr>
    </w:div>
    <w:div w:id="189295121">
      <w:bodyDiv w:val="1"/>
      <w:marLeft w:val="0"/>
      <w:marRight w:val="0"/>
      <w:marTop w:val="0"/>
      <w:marBottom w:val="0"/>
      <w:divBdr>
        <w:top w:val="none" w:sz="0" w:space="0" w:color="auto"/>
        <w:left w:val="none" w:sz="0" w:space="0" w:color="auto"/>
        <w:bottom w:val="none" w:sz="0" w:space="0" w:color="auto"/>
        <w:right w:val="none" w:sz="0" w:space="0" w:color="auto"/>
      </w:divBdr>
    </w:div>
    <w:div w:id="194587068">
      <w:bodyDiv w:val="1"/>
      <w:marLeft w:val="0"/>
      <w:marRight w:val="0"/>
      <w:marTop w:val="0"/>
      <w:marBottom w:val="0"/>
      <w:divBdr>
        <w:top w:val="none" w:sz="0" w:space="0" w:color="auto"/>
        <w:left w:val="none" w:sz="0" w:space="0" w:color="auto"/>
        <w:bottom w:val="none" w:sz="0" w:space="0" w:color="auto"/>
        <w:right w:val="none" w:sz="0" w:space="0" w:color="auto"/>
      </w:divBdr>
    </w:div>
    <w:div w:id="212547891">
      <w:bodyDiv w:val="1"/>
      <w:marLeft w:val="0"/>
      <w:marRight w:val="0"/>
      <w:marTop w:val="0"/>
      <w:marBottom w:val="0"/>
      <w:divBdr>
        <w:top w:val="none" w:sz="0" w:space="0" w:color="auto"/>
        <w:left w:val="none" w:sz="0" w:space="0" w:color="auto"/>
        <w:bottom w:val="none" w:sz="0" w:space="0" w:color="auto"/>
        <w:right w:val="none" w:sz="0" w:space="0" w:color="auto"/>
      </w:divBdr>
    </w:div>
    <w:div w:id="227805628">
      <w:bodyDiv w:val="1"/>
      <w:marLeft w:val="0"/>
      <w:marRight w:val="0"/>
      <w:marTop w:val="0"/>
      <w:marBottom w:val="0"/>
      <w:divBdr>
        <w:top w:val="none" w:sz="0" w:space="0" w:color="auto"/>
        <w:left w:val="none" w:sz="0" w:space="0" w:color="auto"/>
        <w:bottom w:val="none" w:sz="0" w:space="0" w:color="auto"/>
        <w:right w:val="none" w:sz="0" w:space="0" w:color="auto"/>
      </w:divBdr>
    </w:div>
    <w:div w:id="239143039">
      <w:bodyDiv w:val="1"/>
      <w:marLeft w:val="0"/>
      <w:marRight w:val="0"/>
      <w:marTop w:val="0"/>
      <w:marBottom w:val="0"/>
      <w:divBdr>
        <w:top w:val="none" w:sz="0" w:space="0" w:color="auto"/>
        <w:left w:val="none" w:sz="0" w:space="0" w:color="auto"/>
        <w:bottom w:val="none" w:sz="0" w:space="0" w:color="auto"/>
        <w:right w:val="none" w:sz="0" w:space="0" w:color="auto"/>
      </w:divBdr>
    </w:div>
    <w:div w:id="251473372">
      <w:bodyDiv w:val="1"/>
      <w:marLeft w:val="0"/>
      <w:marRight w:val="0"/>
      <w:marTop w:val="0"/>
      <w:marBottom w:val="0"/>
      <w:divBdr>
        <w:top w:val="none" w:sz="0" w:space="0" w:color="auto"/>
        <w:left w:val="none" w:sz="0" w:space="0" w:color="auto"/>
        <w:bottom w:val="none" w:sz="0" w:space="0" w:color="auto"/>
        <w:right w:val="none" w:sz="0" w:space="0" w:color="auto"/>
      </w:divBdr>
    </w:div>
    <w:div w:id="263150470">
      <w:bodyDiv w:val="1"/>
      <w:marLeft w:val="0"/>
      <w:marRight w:val="0"/>
      <w:marTop w:val="0"/>
      <w:marBottom w:val="0"/>
      <w:divBdr>
        <w:top w:val="none" w:sz="0" w:space="0" w:color="auto"/>
        <w:left w:val="none" w:sz="0" w:space="0" w:color="auto"/>
        <w:bottom w:val="none" w:sz="0" w:space="0" w:color="auto"/>
        <w:right w:val="none" w:sz="0" w:space="0" w:color="auto"/>
      </w:divBdr>
    </w:div>
    <w:div w:id="263997319">
      <w:bodyDiv w:val="1"/>
      <w:marLeft w:val="0"/>
      <w:marRight w:val="0"/>
      <w:marTop w:val="0"/>
      <w:marBottom w:val="0"/>
      <w:divBdr>
        <w:top w:val="none" w:sz="0" w:space="0" w:color="auto"/>
        <w:left w:val="none" w:sz="0" w:space="0" w:color="auto"/>
        <w:bottom w:val="none" w:sz="0" w:space="0" w:color="auto"/>
        <w:right w:val="none" w:sz="0" w:space="0" w:color="auto"/>
      </w:divBdr>
    </w:div>
    <w:div w:id="265624379">
      <w:bodyDiv w:val="1"/>
      <w:marLeft w:val="0"/>
      <w:marRight w:val="0"/>
      <w:marTop w:val="0"/>
      <w:marBottom w:val="0"/>
      <w:divBdr>
        <w:top w:val="none" w:sz="0" w:space="0" w:color="auto"/>
        <w:left w:val="none" w:sz="0" w:space="0" w:color="auto"/>
        <w:bottom w:val="none" w:sz="0" w:space="0" w:color="auto"/>
        <w:right w:val="none" w:sz="0" w:space="0" w:color="auto"/>
      </w:divBdr>
    </w:div>
    <w:div w:id="290936910">
      <w:bodyDiv w:val="1"/>
      <w:marLeft w:val="0"/>
      <w:marRight w:val="0"/>
      <w:marTop w:val="0"/>
      <w:marBottom w:val="0"/>
      <w:divBdr>
        <w:top w:val="none" w:sz="0" w:space="0" w:color="auto"/>
        <w:left w:val="none" w:sz="0" w:space="0" w:color="auto"/>
        <w:bottom w:val="none" w:sz="0" w:space="0" w:color="auto"/>
        <w:right w:val="none" w:sz="0" w:space="0" w:color="auto"/>
      </w:divBdr>
    </w:div>
    <w:div w:id="315962821">
      <w:bodyDiv w:val="1"/>
      <w:marLeft w:val="0"/>
      <w:marRight w:val="0"/>
      <w:marTop w:val="0"/>
      <w:marBottom w:val="0"/>
      <w:divBdr>
        <w:top w:val="none" w:sz="0" w:space="0" w:color="auto"/>
        <w:left w:val="none" w:sz="0" w:space="0" w:color="auto"/>
        <w:bottom w:val="none" w:sz="0" w:space="0" w:color="auto"/>
        <w:right w:val="none" w:sz="0" w:space="0" w:color="auto"/>
      </w:divBdr>
    </w:div>
    <w:div w:id="339939566">
      <w:bodyDiv w:val="1"/>
      <w:marLeft w:val="0"/>
      <w:marRight w:val="0"/>
      <w:marTop w:val="0"/>
      <w:marBottom w:val="0"/>
      <w:divBdr>
        <w:top w:val="none" w:sz="0" w:space="0" w:color="auto"/>
        <w:left w:val="none" w:sz="0" w:space="0" w:color="auto"/>
        <w:bottom w:val="none" w:sz="0" w:space="0" w:color="auto"/>
        <w:right w:val="none" w:sz="0" w:space="0" w:color="auto"/>
      </w:divBdr>
    </w:div>
    <w:div w:id="350298283">
      <w:bodyDiv w:val="1"/>
      <w:marLeft w:val="0"/>
      <w:marRight w:val="0"/>
      <w:marTop w:val="0"/>
      <w:marBottom w:val="0"/>
      <w:divBdr>
        <w:top w:val="none" w:sz="0" w:space="0" w:color="auto"/>
        <w:left w:val="none" w:sz="0" w:space="0" w:color="auto"/>
        <w:bottom w:val="none" w:sz="0" w:space="0" w:color="auto"/>
        <w:right w:val="none" w:sz="0" w:space="0" w:color="auto"/>
      </w:divBdr>
    </w:div>
    <w:div w:id="363362448">
      <w:bodyDiv w:val="1"/>
      <w:marLeft w:val="0"/>
      <w:marRight w:val="0"/>
      <w:marTop w:val="0"/>
      <w:marBottom w:val="0"/>
      <w:divBdr>
        <w:top w:val="none" w:sz="0" w:space="0" w:color="auto"/>
        <w:left w:val="none" w:sz="0" w:space="0" w:color="auto"/>
        <w:bottom w:val="none" w:sz="0" w:space="0" w:color="auto"/>
        <w:right w:val="none" w:sz="0" w:space="0" w:color="auto"/>
      </w:divBdr>
    </w:div>
    <w:div w:id="393116707">
      <w:bodyDiv w:val="1"/>
      <w:marLeft w:val="0"/>
      <w:marRight w:val="0"/>
      <w:marTop w:val="0"/>
      <w:marBottom w:val="0"/>
      <w:divBdr>
        <w:top w:val="none" w:sz="0" w:space="0" w:color="auto"/>
        <w:left w:val="none" w:sz="0" w:space="0" w:color="auto"/>
        <w:bottom w:val="none" w:sz="0" w:space="0" w:color="auto"/>
        <w:right w:val="none" w:sz="0" w:space="0" w:color="auto"/>
      </w:divBdr>
    </w:div>
    <w:div w:id="394088569">
      <w:bodyDiv w:val="1"/>
      <w:marLeft w:val="0"/>
      <w:marRight w:val="0"/>
      <w:marTop w:val="0"/>
      <w:marBottom w:val="0"/>
      <w:divBdr>
        <w:top w:val="none" w:sz="0" w:space="0" w:color="auto"/>
        <w:left w:val="none" w:sz="0" w:space="0" w:color="auto"/>
        <w:bottom w:val="none" w:sz="0" w:space="0" w:color="auto"/>
        <w:right w:val="none" w:sz="0" w:space="0" w:color="auto"/>
      </w:divBdr>
    </w:div>
    <w:div w:id="405804968">
      <w:bodyDiv w:val="1"/>
      <w:marLeft w:val="0"/>
      <w:marRight w:val="0"/>
      <w:marTop w:val="0"/>
      <w:marBottom w:val="0"/>
      <w:divBdr>
        <w:top w:val="none" w:sz="0" w:space="0" w:color="auto"/>
        <w:left w:val="none" w:sz="0" w:space="0" w:color="auto"/>
        <w:bottom w:val="none" w:sz="0" w:space="0" w:color="auto"/>
        <w:right w:val="none" w:sz="0" w:space="0" w:color="auto"/>
      </w:divBdr>
    </w:div>
    <w:div w:id="412974315">
      <w:bodyDiv w:val="1"/>
      <w:marLeft w:val="0"/>
      <w:marRight w:val="0"/>
      <w:marTop w:val="0"/>
      <w:marBottom w:val="0"/>
      <w:divBdr>
        <w:top w:val="none" w:sz="0" w:space="0" w:color="auto"/>
        <w:left w:val="none" w:sz="0" w:space="0" w:color="auto"/>
        <w:bottom w:val="none" w:sz="0" w:space="0" w:color="auto"/>
        <w:right w:val="none" w:sz="0" w:space="0" w:color="auto"/>
      </w:divBdr>
    </w:div>
    <w:div w:id="413674000">
      <w:bodyDiv w:val="1"/>
      <w:marLeft w:val="0"/>
      <w:marRight w:val="0"/>
      <w:marTop w:val="0"/>
      <w:marBottom w:val="0"/>
      <w:divBdr>
        <w:top w:val="none" w:sz="0" w:space="0" w:color="auto"/>
        <w:left w:val="none" w:sz="0" w:space="0" w:color="auto"/>
        <w:bottom w:val="none" w:sz="0" w:space="0" w:color="auto"/>
        <w:right w:val="none" w:sz="0" w:space="0" w:color="auto"/>
      </w:divBdr>
    </w:div>
    <w:div w:id="422923806">
      <w:bodyDiv w:val="1"/>
      <w:marLeft w:val="0"/>
      <w:marRight w:val="0"/>
      <w:marTop w:val="0"/>
      <w:marBottom w:val="0"/>
      <w:divBdr>
        <w:top w:val="none" w:sz="0" w:space="0" w:color="auto"/>
        <w:left w:val="none" w:sz="0" w:space="0" w:color="auto"/>
        <w:bottom w:val="none" w:sz="0" w:space="0" w:color="auto"/>
        <w:right w:val="none" w:sz="0" w:space="0" w:color="auto"/>
      </w:divBdr>
    </w:div>
    <w:div w:id="426193614">
      <w:bodyDiv w:val="1"/>
      <w:marLeft w:val="0"/>
      <w:marRight w:val="0"/>
      <w:marTop w:val="0"/>
      <w:marBottom w:val="0"/>
      <w:divBdr>
        <w:top w:val="none" w:sz="0" w:space="0" w:color="auto"/>
        <w:left w:val="none" w:sz="0" w:space="0" w:color="auto"/>
        <w:bottom w:val="none" w:sz="0" w:space="0" w:color="auto"/>
        <w:right w:val="none" w:sz="0" w:space="0" w:color="auto"/>
      </w:divBdr>
    </w:div>
    <w:div w:id="442263943">
      <w:bodyDiv w:val="1"/>
      <w:marLeft w:val="0"/>
      <w:marRight w:val="0"/>
      <w:marTop w:val="0"/>
      <w:marBottom w:val="0"/>
      <w:divBdr>
        <w:top w:val="none" w:sz="0" w:space="0" w:color="auto"/>
        <w:left w:val="none" w:sz="0" w:space="0" w:color="auto"/>
        <w:bottom w:val="none" w:sz="0" w:space="0" w:color="auto"/>
        <w:right w:val="none" w:sz="0" w:space="0" w:color="auto"/>
      </w:divBdr>
    </w:div>
    <w:div w:id="472717652">
      <w:bodyDiv w:val="1"/>
      <w:marLeft w:val="0"/>
      <w:marRight w:val="0"/>
      <w:marTop w:val="0"/>
      <w:marBottom w:val="0"/>
      <w:divBdr>
        <w:top w:val="none" w:sz="0" w:space="0" w:color="auto"/>
        <w:left w:val="none" w:sz="0" w:space="0" w:color="auto"/>
        <w:bottom w:val="none" w:sz="0" w:space="0" w:color="auto"/>
        <w:right w:val="none" w:sz="0" w:space="0" w:color="auto"/>
      </w:divBdr>
    </w:div>
    <w:div w:id="476729042">
      <w:bodyDiv w:val="1"/>
      <w:marLeft w:val="0"/>
      <w:marRight w:val="0"/>
      <w:marTop w:val="0"/>
      <w:marBottom w:val="0"/>
      <w:divBdr>
        <w:top w:val="none" w:sz="0" w:space="0" w:color="auto"/>
        <w:left w:val="none" w:sz="0" w:space="0" w:color="auto"/>
        <w:bottom w:val="none" w:sz="0" w:space="0" w:color="auto"/>
        <w:right w:val="none" w:sz="0" w:space="0" w:color="auto"/>
      </w:divBdr>
    </w:div>
    <w:div w:id="478310692">
      <w:bodyDiv w:val="1"/>
      <w:marLeft w:val="0"/>
      <w:marRight w:val="0"/>
      <w:marTop w:val="0"/>
      <w:marBottom w:val="0"/>
      <w:divBdr>
        <w:top w:val="none" w:sz="0" w:space="0" w:color="auto"/>
        <w:left w:val="none" w:sz="0" w:space="0" w:color="auto"/>
        <w:bottom w:val="none" w:sz="0" w:space="0" w:color="auto"/>
        <w:right w:val="none" w:sz="0" w:space="0" w:color="auto"/>
      </w:divBdr>
    </w:div>
    <w:div w:id="480536154">
      <w:bodyDiv w:val="1"/>
      <w:marLeft w:val="0"/>
      <w:marRight w:val="0"/>
      <w:marTop w:val="0"/>
      <w:marBottom w:val="0"/>
      <w:divBdr>
        <w:top w:val="none" w:sz="0" w:space="0" w:color="auto"/>
        <w:left w:val="none" w:sz="0" w:space="0" w:color="auto"/>
        <w:bottom w:val="none" w:sz="0" w:space="0" w:color="auto"/>
        <w:right w:val="none" w:sz="0" w:space="0" w:color="auto"/>
      </w:divBdr>
    </w:div>
    <w:div w:id="486702389">
      <w:bodyDiv w:val="1"/>
      <w:marLeft w:val="0"/>
      <w:marRight w:val="0"/>
      <w:marTop w:val="0"/>
      <w:marBottom w:val="0"/>
      <w:divBdr>
        <w:top w:val="none" w:sz="0" w:space="0" w:color="auto"/>
        <w:left w:val="none" w:sz="0" w:space="0" w:color="auto"/>
        <w:bottom w:val="none" w:sz="0" w:space="0" w:color="auto"/>
        <w:right w:val="none" w:sz="0" w:space="0" w:color="auto"/>
      </w:divBdr>
    </w:div>
    <w:div w:id="488785229">
      <w:bodyDiv w:val="1"/>
      <w:marLeft w:val="0"/>
      <w:marRight w:val="0"/>
      <w:marTop w:val="0"/>
      <w:marBottom w:val="0"/>
      <w:divBdr>
        <w:top w:val="none" w:sz="0" w:space="0" w:color="auto"/>
        <w:left w:val="none" w:sz="0" w:space="0" w:color="auto"/>
        <w:bottom w:val="none" w:sz="0" w:space="0" w:color="auto"/>
        <w:right w:val="none" w:sz="0" w:space="0" w:color="auto"/>
      </w:divBdr>
    </w:div>
    <w:div w:id="492844174">
      <w:bodyDiv w:val="1"/>
      <w:marLeft w:val="0"/>
      <w:marRight w:val="0"/>
      <w:marTop w:val="0"/>
      <w:marBottom w:val="0"/>
      <w:divBdr>
        <w:top w:val="none" w:sz="0" w:space="0" w:color="auto"/>
        <w:left w:val="none" w:sz="0" w:space="0" w:color="auto"/>
        <w:bottom w:val="none" w:sz="0" w:space="0" w:color="auto"/>
        <w:right w:val="none" w:sz="0" w:space="0" w:color="auto"/>
      </w:divBdr>
    </w:div>
    <w:div w:id="501043564">
      <w:bodyDiv w:val="1"/>
      <w:marLeft w:val="0"/>
      <w:marRight w:val="0"/>
      <w:marTop w:val="0"/>
      <w:marBottom w:val="0"/>
      <w:divBdr>
        <w:top w:val="none" w:sz="0" w:space="0" w:color="auto"/>
        <w:left w:val="none" w:sz="0" w:space="0" w:color="auto"/>
        <w:bottom w:val="none" w:sz="0" w:space="0" w:color="auto"/>
        <w:right w:val="none" w:sz="0" w:space="0" w:color="auto"/>
      </w:divBdr>
    </w:div>
    <w:div w:id="515770298">
      <w:bodyDiv w:val="1"/>
      <w:marLeft w:val="0"/>
      <w:marRight w:val="0"/>
      <w:marTop w:val="0"/>
      <w:marBottom w:val="0"/>
      <w:divBdr>
        <w:top w:val="none" w:sz="0" w:space="0" w:color="auto"/>
        <w:left w:val="none" w:sz="0" w:space="0" w:color="auto"/>
        <w:bottom w:val="none" w:sz="0" w:space="0" w:color="auto"/>
        <w:right w:val="none" w:sz="0" w:space="0" w:color="auto"/>
      </w:divBdr>
    </w:div>
    <w:div w:id="521819751">
      <w:bodyDiv w:val="1"/>
      <w:marLeft w:val="0"/>
      <w:marRight w:val="0"/>
      <w:marTop w:val="0"/>
      <w:marBottom w:val="0"/>
      <w:divBdr>
        <w:top w:val="none" w:sz="0" w:space="0" w:color="auto"/>
        <w:left w:val="none" w:sz="0" w:space="0" w:color="auto"/>
        <w:bottom w:val="none" w:sz="0" w:space="0" w:color="auto"/>
        <w:right w:val="none" w:sz="0" w:space="0" w:color="auto"/>
      </w:divBdr>
    </w:div>
    <w:div w:id="522062540">
      <w:bodyDiv w:val="1"/>
      <w:marLeft w:val="0"/>
      <w:marRight w:val="0"/>
      <w:marTop w:val="0"/>
      <w:marBottom w:val="0"/>
      <w:divBdr>
        <w:top w:val="none" w:sz="0" w:space="0" w:color="auto"/>
        <w:left w:val="none" w:sz="0" w:space="0" w:color="auto"/>
        <w:bottom w:val="none" w:sz="0" w:space="0" w:color="auto"/>
        <w:right w:val="none" w:sz="0" w:space="0" w:color="auto"/>
      </w:divBdr>
    </w:div>
    <w:div w:id="526220514">
      <w:bodyDiv w:val="1"/>
      <w:marLeft w:val="0"/>
      <w:marRight w:val="0"/>
      <w:marTop w:val="0"/>
      <w:marBottom w:val="0"/>
      <w:divBdr>
        <w:top w:val="none" w:sz="0" w:space="0" w:color="auto"/>
        <w:left w:val="none" w:sz="0" w:space="0" w:color="auto"/>
        <w:bottom w:val="none" w:sz="0" w:space="0" w:color="auto"/>
        <w:right w:val="none" w:sz="0" w:space="0" w:color="auto"/>
      </w:divBdr>
    </w:div>
    <w:div w:id="531916761">
      <w:bodyDiv w:val="1"/>
      <w:marLeft w:val="0"/>
      <w:marRight w:val="0"/>
      <w:marTop w:val="0"/>
      <w:marBottom w:val="0"/>
      <w:divBdr>
        <w:top w:val="none" w:sz="0" w:space="0" w:color="auto"/>
        <w:left w:val="none" w:sz="0" w:space="0" w:color="auto"/>
        <w:bottom w:val="none" w:sz="0" w:space="0" w:color="auto"/>
        <w:right w:val="none" w:sz="0" w:space="0" w:color="auto"/>
      </w:divBdr>
    </w:div>
    <w:div w:id="547880962">
      <w:bodyDiv w:val="1"/>
      <w:marLeft w:val="0"/>
      <w:marRight w:val="0"/>
      <w:marTop w:val="0"/>
      <w:marBottom w:val="0"/>
      <w:divBdr>
        <w:top w:val="none" w:sz="0" w:space="0" w:color="auto"/>
        <w:left w:val="none" w:sz="0" w:space="0" w:color="auto"/>
        <w:bottom w:val="none" w:sz="0" w:space="0" w:color="auto"/>
        <w:right w:val="none" w:sz="0" w:space="0" w:color="auto"/>
      </w:divBdr>
    </w:div>
    <w:div w:id="561912850">
      <w:bodyDiv w:val="1"/>
      <w:marLeft w:val="0"/>
      <w:marRight w:val="0"/>
      <w:marTop w:val="0"/>
      <w:marBottom w:val="0"/>
      <w:divBdr>
        <w:top w:val="none" w:sz="0" w:space="0" w:color="auto"/>
        <w:left w:val="none" w:sz="0" w:space="0" w:color="auto"/>
        <w:bottom w:val="none" w:sz="0" w:space="0" w:color="auto"/>
        <w:right w:val="none" w:sz="0" w:space="0" w:color="auto"/>
      </w:divBdr>
    </w:div>
    <w:div w:id="569005947">
      <w:bodyDiv w:val="1"/>
      <w:marLeft w:val="0"/>
      <w:marRight w:val="0"/>
      <w:marTop w:val="0"/>
      <w:marBottom w:val="0"/>
      <w:divBdr>
        <w:top w:val="none" w:sz="0" w:space="0" w:color="auto"/>
        <w:left w:val="none" w:sz="0" w:space="0" w:color="auto"/>
        <w:bottom w:val="none" w:sz="0" w:space="0" w:color="auto"/>
        <w:right w:val="none" w:sz="0" w:space="0" w:color="auto"/>
      </w:divBdr>
    </w:div>
    <w:div w:id="573975014">
      <w:bodyDiv w:val="1"/>
      <w:marLeft w:val="0"/>
      <w:marRight w:val="0"/>
      <w:marTop w:val="0"/>
      <w:marBottom w:val="0"/>
      <w:divBdr>
        <w:top w:val="none" w:sz="0" w:space="0" w:color="auto"/>
        <w:left w:val="none" w:sz="0" w:space="0" w:color="auto"/>
        <w:bottom w:val="none" w:sz="0" w:space="0" w:color="auto"/>
        <w:right w:val="none" w:sz="0" w:space="0" w:color="auto"/>
      </w:divBdr>
    </w:div>
    <w:div w:id="592473927">
      <w:bodyDiv w:val="1"/>
      <w:marLeft w:val="0"/>
      <w:marRight w:val="0"/>
      <w:marTop w:val="0"/>
      <w:marBottom w:val="0"/>
      <w:divBdr>
        <w:top w:val="none" w:sz="0" w:space="0" w:color="auto"/>
        <w:left w:val="none" w:sz="0" w:space="0" w:color="auto"/>
        <w:bottom w:val="none" w:sz="0" w:space="0" w:color="auto"/>
        <w:right w:val="none" w:sz="0" w:space="0" w:color="auto"/>
      </w:divBdr>
    </w:div>
    <w:div w:id="597520121">
      <w:bodyDiv w:val="1"/>
      <w:marLeft w:val="0"/>
      <w:marRight w:val="0"/>
      <w:marTop w:val="0"/>
      <w:marBottom w:val="0"/>
      <w:divBdr>
        <w:top w:val="none" w:sz="0" w:space="0" w:color="auto"/>
        <w:left w:val="none" w:sz="0" w:space="0" w:color="auto"/>
        <w:bottom w:val="none" w:sz="0" w:space="0" w:color="auto"/>
        <w:right w:val="none" w:sz="0" w:space="0" w:color="auto"/>
      </w:divBdr>
    </w:div>
    <w:div w:id="599460026">
      <w:bodyDiv w:val="1"/>
      <w:marLeft w:val="0"/>
      <w:marRight w:val="0"/>
      <w:marTop w:val="0"/>
      <w:marBottom w:val="0"/>
      <w:divBdr>
        <w:top w:val="none" w:sz="0" w:space="0" w:color="auto"/>
        <w:left w:val="none" w:sz="0" w:space="0" w:color="auto"/>
        <w:bottom w:val="none" w:sz="0" w:space="0" w:color="auto"/>
        <w:right w:val="none" w:sz="0" w:space="0" w:color="auto"/>
      </w:divBdr>
    </w:div>
    <w:div w:id="605774305">
      <w:bodyDiv w:val="1"/>
      <w:marLeft w:val="0"/>
      <w:marRight w:val="0"/>
      <w:marTop w:val="0"/>
      <w:marBottom w:val="0"/>
      <w:divBdr>
        <w:top w:val="none" w:sz="0" w:space="0" w:color="auto"/>
        <w:left w:val="none" w:sz="0" w:space="0" w:color="auto"/>
        <w:bottom w:val="none" w:sz="0" w:space="0" w:color="auto"/>
        <w:right w:val="none" w:sz="0" w:space="0" w:color="auto"/>
      </w:divBdr>
    </w:div>
    <w:div w:id="612244854">
      <w:bodyDiv w:val="1"/>
      <w:marLeft w:val="0"/>
      <w:marRight w:val="0"/>
      <w:marTop w:val="0"/>
      <w:marBottom w:val="0"/>
      <w:divBdr>
        <w:top w:val="none" w:sz="0" w:space="0" w:color="auto"/>
        <w:left w:val="none" w:sz="0" w:space="0" w:color="auto"/>
        <w:bottom w:val="none" w:sz="0" w:space="0" w:color="auto"/>
        <w:right w:val="none" w:sz="0" w:space="0" w:color="auto"/>
      </w:divBdr>
    </w:div>
    <w:div w:id="639651551">
      <w:bodyDiv w:val="1"/>
      <w:marLeft w:val="0"/>
      <w:marRight w:val="0"/>
      <w:marTop w:val="0"/>
      <w:marBottom w:val="0"/>
      <w:divBdr>
        <w:top w:val="none" w:sz="0" w:space="0" w:color="auto"/>
        <w:left w:val="none" w:sz="0" w:space="0" w:color="auto"/>
        <w:bottom w:val="none" w:sz="0" w:space="0" w:color="auto"/>
        <w:right w:val="none" w:sz="0" w:space="0" w:color="auto"/>
      </w:divBdr>
    </w:div>
    <w:div w:id="652755835">
      <w:bodyDiv w:val="1"/>
      <w:marLeft w:val="0"/>
      <w:marRight w:val="0"/>
      <w:marTop w:val="0"/>
      <w:marBottom w:val="0"/>
      <w:divBdr>
        <w:top w:val="none" w:sz="0" w:space="0" w:color="auto"/>
        <w:left w:val="none" w:sz="0" w:space="0" w:color="auto"/>
        <w:bottom w:val="none" w:sz="0" w:space="0" w:color="auto"/>
        <w:right w:val="none" w:sz="0" w:space="0" w:color="auto"/>
      </w:divBdr>
    </w:div>
    <w:div w:id="674920882">
      <w:bodyDiv w:val="1"/>
      <w:marLeft w:val="0"/>
      <w:marRight w:val="0"/>
      <w:marTop w:val="0"/>
      <w:marBottom w:val="0"/>
      <w:divBdr>
        <w:top w:val="none" w:sz="0" w:space="0" w:color="auto"/>
        <w:left w:val="none" w:sz="0" w:space="0" w:color="auto"/>
        <w:bottom w:val="none" w:sz="0" w:space="0" w:color="auto"/>
        <w:right w:val="none" w:sz="0" w:space="0" w:color="auto"/>
      </w:divBdr>
    </w:div>
    <w:div w:id="676150939">
      <w:bodyDiv w:val="1"/>
      <w:marLeft w:val="0"/>
      <w:marRight w:val="0"/>
      <w:marTop w:val="0"/>
      <w:marBottom w:val="0"/>
      <w:divBdr>
        <w:top w:val="none" w:sz="0" w:space="0" w:color="auto"/>
        <w:left w:val="none" w:sz="0" w:space="0" w:color="auto"/>
        <w:bottom w:val="none" w:sz="0" w:space="0" w:color="auto"/>
        <w:right w:val="none" w:sz="0" w:space="0" w:color="auto"/>
      </w:divBdr>
    </w:div>
    <w:div w:id="692223293">
      <w:bodyDiv w:val="1"/>
      <w:marLeft w:val="0"/>
      <w:marRight w:val="0"/>
      <w:marTop w:val="0"/>
      <w:marBottom w:val="0"/>
      <w:divBdr>
        <w:top w:val="none" w:sz="0" w:space="0" w:color="auto"/>
        <w:left w:val="none" w:sz="0" w:space="0" w:color="auto"/>
        <w:bottom w:val="none" w:sz="0" w:space="0" w:color="auto"/>
        <w:right w:val="none" w:sz="0" w:space="0" w:color="auto"/>
      </w:divBdr>
    </w:div>
    <w:div w:id="716854918">
      <w:bodyDiv w:val="1"/>
      <w:marLeft w:val="0"/>
      <w:marRight w:val="0"/>
      <w:marTop w:val="0"/>
      <w:marBottom w:val="0"/>
      <w:divBdr>
        <w:top w:val="none" w:sz="0" w:space="0" w:color="auto"/>
        <w:left w:val="none" w:sz="0" w:space="0" w:color="auto"/>
        <w:bottom w:val="none" w:sz="0" w:space="0" w:color="auto"/>
        <w:right w:val="none" w:sz="0" w:space="0" w:color="auto"/>
      </w:divBdr>
    </w:div>
    <w:div w:id="717632278">
      <w:bodyDiv w:val="1"/>
      <w:marLeft w:val="0"/>
      <w:marRight w:val="0"/>
      <w:marTop w:val="0"/>
      <w:marBottom w:val="0"/>
      <w:divBdr>
        <w:top w:val="none" w:sz="0" w:space="0" w:color="auto"/>
        <w:left w:val="none" w:sz="0" w:space="0" w:color="auto"/>
        <w:bottom w:val="none" w:sz="0" w:space="0" w:color="auto"/>
        <w:right w:val="none" w:sz="0" w:space="0" w:color="auto"/>
      </w:divBdr>
    </w:div>
    <w:div w:id="718431399">
      <w:bodyDiv w:val="1"/>
      <w:marLeft w:val="0"/>
      <w:marRight w:val="0"/>
      <w:marTop w:val="0"/>
      <w:marBottom w:val="0"/>
      <w:divBdr>
        <w:top w:val="none" w:sz="0" w:space="0" w:color="auto"/>
        <w:left w:val="none" w:sz="0" w:space="0" w:color="auto"/>
        <w:bottom w:val="none" w:sz="0" w:space="0" w:color="auto"/>
        <w:right w:val="none" w:sz="0" w:space="0" w:color="auto"/>
      </w:divBdr>
    </w:div>
    <w:div w:id="731274177">
      <w:bodyDiv w:val="1"/>
      <w:marLeft w:val="0"/>
      <w:marRight w:val="0"/>
      <w:marTop w:val="0"/>
      <w:marBottom w:val="0"/>
      <w:divBdr>
        <w:top w:val="none" w:sz="0" w:space="0" w:color="auto"/>
        <w:left w:val="none" w:sz="0" w:space="0" w:color="auto"/>
        <w:bottom w:val="none" w:sz="0" w:space="0" w:color="auto"/>
        <w:right w:val="none" w:sz="0" w:space="0" w:color="auto"/>
      </w:divBdr>
    </w:div>
    <w:div w:id="733089351">
      <w:bodyDiv w:val="1"/>
      <w:marLeft w:val="0"/>
      <w:marRight w:val="0"/>
      <w:marTop w:val="0"/>
      <w:marBottom w:val="0"/>
      <w:divBdr>
        <w:top w:val="none" w:sz="0" w:space="0" w:color="auto"/>
        <w:left w:val="none" w:sz="0" w:space="0" w:color="auto"/>
        <w:bottom w:val="none" w:sz="0" w:space="0" w:color="auto"/>
        <w:right w:val="none" w:sz="0" w:space="0" w:color="auto"/>
      </w:divBdr>
    </w:div>
    <w:div w:id="739059544">
      <w:bodyDiv w:val="1"/>
      <w:marLeft w:val="0"/>
      <w:marRight w:val="0"/>
      <w:marTop w:val="0"/>
      <w:marBottom w:val="0"/>
      <w:divBdr>
        <w:top w:val="none" w:sz="0" w:space="0" w:color="auto"/>
        <w:left w:val="none" w:sz="0" w:space="0" w:color="auto"/>
        <w:bottom w:val="none" w:sz="0" w:space="0" w:color="auto"/>
        <w:right w:val="none" w:sz="0" w:space="0" w:color="auto"/>
      </w:divBdr>
    </w:div>
    <w:div w:id="746806039">
      <w:bodyDiv w:val="1"/>
      <w:marLeft w:val="0"/>
      <w:marRight w:val="0"/>
      <w:marTop w:val="0"/>
      <w:marBottom w:val="0"/>
      <w:divBdr>
        <w:top w:val="none" w:sz="0" w:space="0" w:color="auto"/>
        <w:left w:val="none" w:sz="0" w:space="0" w:color="auto"/>
        <w:bottom w:val="none" w:sz="0" w:space="0" w:color="auto"/>
        <w:right w:val="none" w:sz="0" w:space="0" w:color="auto"/>
      </w:divBdr>
    </w:div>
    <w:div w:id="755128318">
      <w:bodyDiv w:val="1"/>
      <w:marLeft w:val="0"/>
      <w:marRight w:val="0"/>
      <w:marTop w:val="0"/>
      <w:marBottom w:val="0"/>
      <w:divBdr>
        <w:top w:val="none" w:sz="0" w:space="0" w:color="auto"/>
        <w:left w:val="none" w:sz="0" w:space="0" w:color="auto"/>
        <w:bottom w:val="none" w:sz="0" w:space="0" w:color="auto"/>
        <w:right w:val="none" w:sz="0" w:space="0" w:color="auto"/>
      </w:divBdr>
    </w:div>
    <w:div w:id="779377243">
      <w:bodyDiv w:val="1"/>
      <w:marLeft w:val="0"/>
      <w:marRight w:val="0"/>
      <w:marTop w:val="0"/>
      <w:marBottom w:val="0"/>
      <w:divBdr>
        <w:top w:val="none" w:sz="0" w:space="0" w:color="auto"/>
        <w:left w:val="none" w:sz="0" w:space="0" w:color="auto"/>
        <w:bottom w:val="none" w:sz="0" w:space="0" w:color="auto"/>
        <w:right w:val="none" w:sz="0" w:space="0" w:color="auto"/>
      </w:divBdr>
    </w:div>
    <w:div w:id="810946168">
      <w:bodyDiv w:val="1"/>
      <w:marLeft w:val="0"/>
      <w:marRight w:val="0"/>
      <w:marTop w:val="0"/>
      <w:marBottom w:val="0"/>
      <w:divBdr>
        <w:top w:val="none" w:sz="0" w:space="0" w:color="auto"/>
        <w:left w:val="none" w:sz="0" w:space="0" w:color="auto"/>
        <w:bottom w:val="none" w:sz="0" w:space="0" w:color="auto"/>
        <w:right w:val="none" w:sz="0" w:space="0" w:color="auto"/>
      </w:divBdr>
    </w:div>
    <w:div w:id="811167849">
      <w:bodyDiv w:val="1"/>
      <w:marLeft w:val="0"/>
      <w:marRight w:val="0"/>
      <w:marTop w:val="0"/>
      <w:marBottom w:val="0"/>
      <w:divBdr>
        <w:top w:val="none" w:sz="0" w:space="0" w:color="auto"/>
        <w:left w:val="none" w:sz="0" w:space="0" w:color="auto"/>
        <w:bottom w:val="none" w:sz="0" w:space="0" w:color="auto"/>
        <w:right w:val="none" w:sz="0" w:space="0" w:color="auto"/>
      </w:divBdr>
    </w:div>
    <w:div w:id="811365195">
      <w:bodyDiv w:val="1"/>
      <w:marLeft w:val="0"/>
      <w:marRight w:val="0"/>
      <w:marTop w:val="0"/>
      <w:marBottom w:val="0"/>
      <w:divBdr>
        <w:top w:val="none" w:sz="0" w:space="0" w:color="auto"/>
        <w:left w:val="none" w:sz="0" w:space="0" w:color="auto"/>
        <w:bottom w:val="none" w:sz="0" w:space="0" w:color="auto"/>
        <w:right w:val="none" w:sz="0" w:space="0" w:color="auto"/>
      </w:divBdr>
    </w:div>
    <w:div w:id="827405021">
      <w:bodyDiv w:val="1"/>
      <w:marLeft w:val="0"/>
      <w:marRight w:val="0"/>
      <w:marTop w:val="0"/>
      <w:marBottom w:val="0"/>
      <w:divBdr>
        <w:top w:val="none" w:sz="0" w:space="0" w:color="auto"/>
        <w:left w:val="none" w:sz="0" w:space="0" w:color="auto"/>
        <w:bottom w:val="none" w:sz="0" w:space="0" w:color="auto"/>
        <w:right w:val="none" w:sz="0" w:space="0" w:color="auto"/>
      </w:divBdr>
    </w:div>
    <w:div w:id="831137299">
      <w:bodyDiv w:val="1"/>
      <w:marLeft w:val="0"/>
      <w:marRight w:val="0"/>
      <w:marTop w:val="0"/>
      <w:marBottom w:val="0"/>
      <w:divBdr>
        <w:top w:val="none" w:sz="0" w:space="0" w:color="auto"/>
        <w:left w:val="none" w:sz="0" w:space="0" w:color="auto"/>
        <w:bottom w:val="none" w:sz="0" w:space="0" w:color="auto"/>
        <w:right w:val="none" w:sz="0" w:space="0" w:color="auto"/>
      </w:divBdr>
    </w:div>
    <w:div w:id="842549591">
      <w:bodyDiv w:val="1"/>
      <w:marLeft w:val="0"/>
      <w:marRight w:val="0"/>
      <w:marTop w:val="0"/>
      <w:marBottom w:val="0"/>
      <w:divBdr>
        <w:top w:val="none" w:sz="0" w:space="0" w:color="auto"/>
        <w:left w:val="none" w:sz="0" w:space="0" w:color="auto"/>
        <w:bottom w:val="none" w:sz="0" w:space="0" w:color="auto"/>
        <w:right w:val="none" w:sz="0" w:space="0" w:color="auto"/>
      </w:divBdr>
    </w:div>
    <w:div w:id="845053945">
      <w:bodyDiv w:val="1"/>
      <w:marLeft w:val="0"/>
      <w:marRight w:val="0"/>
      <w:marTop w:val="0"/>
      <w:marBottom w:val="0"/>
      <w:divBdr>
        <w:top w:val="none" w:sz="0" w:space="0" w:color="auto"/>
        <w:left w:val="none" w:sz="0" w:space="0" w:color="auto"/>
        <w:bottom w:val="none" w:sz="0" w:space="0" w:color="auto"/>
        <w:right w:val="none" w:sz="0" w:space="0" w:color="auto"/>
      </w:divBdr>
    </w:div>
    <w:div w:id="853114110">
      <w:bodyDiv w:val="1"/>
      <w:marLeft w:val="0"/>
      <w:marRight w:val="0"/>
      <w:marTop w:val="0"/>
      <w:marBottom w:val="0"/>
      <w:divBdr>
        <w:top w:val="none" w:sz="0" w:space="0" w:color="auto"/>
        <w:left w:val="none" w:sz="0" w:space="0" w:color="auto"/>
        <w:bottom w:val="none" w:sz="0" w:space="0" w:color="auto"/>
        <w:right w:val="none" w:sz="0" w:space="0" w:color="auto"/>
      </w:divBdr>
    </w:div>
    <w:div w:id="867917137">
      <w:bodyDiv w:val="1"/>
      <w:marLeft w:val="0"/>
      <w:marRight w:val="0"/>
      <w:marTop w:val="0"/>
      <w:marBottom w:val="0"/>
      <w:divBdr>
        <w:top w:val="none" w:sz="0" w:space="0" w:color="auto"/>
        <w:left w:val="none" w:sz="0" w:space="0" w:color="auto"/>
        <w:bottom w:val="none" w:sz="0" w:space="0" w:color="auto"/>
        <w:right w:val="none" w:sz="0" w:space="0" w:color="auto"/>
      </w:divBdr>
    </w:div>
    <w:div w:id="890923275">
      <w:bodyDiv w:val="1"/>
      <w:marLeft w:val="0"/>
      <w:marRight w:val="0"/>
      <w:marTop w:val="0"/>
      <w:marBottom w:val="0"/>
      <w:divBdr>
        <w:top w:val="none" w:sz="0" w:space="0" w:color="auto"/>
        <w:left w:val="none" w:sz="0" w:space="0" w:color="auto"/>
        <w:bottom w:val="none" w:sz="0" w:space="0" w:color="auto"/>
        <w:right w:val="none" w:sz="0" w:space="0" w:color="auto"/>
      </w:divBdr>
    </w:div>
    <w:div w:id="905920844">
      <w:bodyDiv w:val="1"/>
      <w:marLeft w:val="0"/>
      <w:marRight w:val="0"/>
      <w:marTop w:val="0"/>
      <w:marBottom w:val="0"/>
      <w:divBdr>
        <w:top w:val="none" w:sz="0" w:space="0" w:color="auto"/>
        <w:left w:val="none" w:sz="0" w:space="0" w:color="auto"/>
        <w:bottom w:val="none" w:sz="0" w:space="0" w:color="auto"/>
        <w:right w:val="none" w:sz="0" w:space="0" w:color="auto"/>
      </w:divBdr>
    </w:div>
    <w:div w:id="910770262">
      <w:bodyDiv w:val="1"/>
      <w:marLeft w:val="0"/>
      <w:marRight w:val="0"/>
      <w:marTop w:val="0"/>
      <w:marBottom w:val="0"/>
      <w:divBdr>
        <w:top w:val="none" w:sz="0" w:space="0" w:color="auto"/>
        <w:left w:val="none" w:sz="0" w:space="0" w:color="auto"/>
        <w:bottom w:val="none" w:sz="0" w:space="0" w:color="auto"/>
        <w:right w:val="none" w:sz="0" w:space="0" w:color="auto"/>
      </w:divBdr>
    </w:div>
    <w:div w:id="910970543">
      <w:bodyDiv w:val="1"/>
      <w:marLeft w:val="0"/>
      <w:marRight w:val="0"/>
      <w:marTop w:val="0"/>
      <w:marBottom w:val="0"/>
      <w:divBdr>
        <w:top w:val="none" w:sz="0" w:space="0" w:color="auto"/>
        <w:left w:val="none" w:sz="0" w:space="0" w:color="auto"/>
        <w:bottom w:val="none" w:sz="0" w:space="0" w:color="auto"/>
        <w:right w:val="none" w:sz="0" w:space="0" w:color="auto"/>
      </w:divBdr>
    </w:div>
    <w:div w:id="915089238">
      <w:bodyDiv w:val="1"/>
      <w:marLeft w:val="0"/>
      <w:marRight w:val="0"/>
      <w:marTop w:val="0"/>
      <w:marBottom w:val="0"/>
      <w:divBdr>
        <w:top w:val="none" w:sz="0" w:space="0" w:color="auto"/>
        <w:left w:val="none" w:sz="0" w:space="0" w:color="auto"/>
        <w:bottom w:val="none" w:sz="0" w:space="0" w:color="auto"/>
        <w:right w:val="none" w:sz="0" w:space="0" w:color="auto"/>
      </w:divBdr>
    </w:div>
    <w:div w:id="953245629">
      <w:bodyDiv w:val="1"/>
      <w:marLeft w:val="0"/>
      <w:marRight w:val="0"/>
      <w:marTop w:val="0"/>
      <w:marBottom w:val="0"/>
      <w:divBdr>
        <w:top w:val="none" w:sz="0" w:space="0" w:color="auto"/>
        <w:left w:val="none" w:sz="0" w:space="0" w:color="auto"/>
        <w:bottom w:val="none" w:sz="0" w:space="0" w:color="auto"/>
        <w:right w:val="none" w:sz="0" w:space="0" w:color="auto"/>
      </w:divBdr>
    </w:div>
    <w:div w:id="958217231">
      <w:bodyDiv w:val="1"/>
      <w:marLeft w:val="0"/>
      <w:marRight w:val="0"/>
      <w:marTop w:val="0"/>
      <w:marBottom w:val="0"/>
      <w:divBdr>
        <w:top w:val="none" w:sz="0" w:space="0" w:color="auto"/>
        <w:left w:val="none" w:sz="0" w:space="0" w:color="auto"/>
        <w:bottom w:val="none" w:sz="0" w:space="0" w:color="auto"/>
        <w:right w:val="none" w:sz="0" w:space="0" w:color="auto"/>
      </w:divBdr>
    </w:div>
    <w:div w:id="965618955">
      <w:bodyDiv w:val="1"/>
      <w:marLeft w:val="0"/>
      <w:marRight w:val="0"/>
      <w:marTop w:val="0"/>
      <w:marBottom w:val="0"/>
      <w:divBdr>
        <w:top w:val="none" w:sz="0" w:space="0" w:color="auto"/>
        <w:left w:val="none" w:sz="0" w:space="0" w:color="auto"/>
        <w:bottom w:val="none" w:sz="0" w:space="0" w:color="auto"/>
        <w:right w:val="none" w:sz="0" w:space="0" w:color="auto"/>
      </w:divBdr>
    </w:div>
    <w:div w:id="971716595">
      <w:bodyDiv w:val="1"/>
      <w:marLeft w:val="0"/>
      <w:marRight w:val="0"/>
      <w:marTop w:val="0"/>
      <w:marBottom w:val="0"/>
      <w:divBdr>
        <w:top w:val="none" w:sz="0" w:space="0" w:color="auto"/>
        <w:left w:val="none" w:sz="0" w:space="0" w:color="auto"/>
        <w:bottom w:val="none" w:sz="0" w:space="0" w:color="auto"/>
        <w:right w:val="none" w:sz="0" w:space="0" w:color="auto"/>
      </w:divBdr>
    </w:div>
    <w:div w:id="981345705">
      <w:bodyDiv w:val="1"/>
      <w:marLeft w:val="0"/>
      <w:marRight w:val="0"/>
      <w:marTop w:val="0"/>
      <w:marBottom w:val="0"/>
      <w:divBdr>
        <w:top w:val="none" w:sz="0" w:space="0" w:color="auto"/>
        <w:left w:val="none" w:sz="0" w:space="0" w:color="auto"/>
        <w:bottom w:val="none" w:sz="0" w:space="0" w:color="auto"/>
        <w:right w:val="none" w:sz="0" w:space="0" w:color="auto"/>
      </w:divBdr>
    </w:div>
    <w:div w:id="981737301">
      <w:bodyDiv w:val="1"/>
      <w:marLeft w:val="0"/>
      <w:marRight w:val="0"/>
      <w:marTop w:val="0"/>
      <w:marBottom w:val="0"/>
      <w:divBdr>
        <w:top w:val="none" w:sz="0" w:space="0" w:color="auto"/>
        <w:left w:val="none" w:sz="0" w:space="0" w:color="auto"/>
        <w:bottom w:val="none" w:sz="0" w:space="0" w:color="auto"/>
        <w:right w:val="none" w:sz="0" w:space="0" w:color="auto"/>
      </w:divBdr>
    </w:div>
    <w:div w:id="989479958">
      <w:bodyDiv w:val="1"/>
      <w:marLeft w:val="0"/>
      <w:marRight w:val="0"/>
      <w:marTop w:val="0"/>
      <w:marBottom w:val="0"/>
      <w:divBdr>
        <w:top w:val="none" w:sz="0" w:space="0" w:color="auto"/>
        <w:left w:val="none" w:sz="0" w:space="0" w:color="auto"/>
        <w:bottom w:val="none" w:sz="0" w:space="0" w:color="auto"/>
        <w:right w:val="none" w:sz="0" w:space="0" w:color="auto"/>
      </w:divBdr>
    </w:div>
    <w:div w:id="1005523714">
      <w:bodyDiv w:val="1"/>
      <w:marLeft w:val="0"/>
      <w:marRight w:val="0"/>
      <w:marTop w:val="0"/>
      <w:marBottom w:val="0"/>
      <w:divBdr>
        <w:top w:val="none" w:sz="0" w:space="0" w:color="auto"/>
        <w:left w:val="none" w:sz="0" w:space="0" w:color="auto"/>
        <w:bottom w:val="none" w:sz="0" w:space="0" w:color="auto"/>
        <w:right w:val="none" w:sz="0" w:space="0" w:color="auto"/>
      </w:divBdr>
    </w:div>
    <w:div w:id="1006327015">
      <w:bodyDiv w:val="1"/>
      <w:marLeft w:val="0"/>
      <w:marRight w:val="0"/>
      <w:marTop w:val="0"/>
      <w:marBottom w:val="0"/>
      <w:divBdr>
        <w:top w:val="none" w:sz="0" w:space="0" w:color="auto"/>
        <w:left w:val="none" w:sz="0" w:space="0" w:color="auto"/>
        <w:bottom w:val="none" w:sz="0" w:space="0" w:color="auto"/>
        <w:right w:val="none" w:sz="0" w:space="0" w:color="auto"/>
      </w:divBdr>
    </w:div>
    <w:div w:id="1008479224">
      <w:bodyDiv w:val="1"/>
      <w:marLeft w:val="0"/>
      <w:marRight w:val="0"/>
      <w:marTop w:val="0"/>
      <w:marBottom w:val="0"/>
      <w:divBdr>
        <w:top w:val="none" w:sz="0" w:space="0" w:color="auto"/>
        <w:left w:val="none" w:sz="0" w:space="0" w:color="auto"/>
        <w:bottom w:val="none" w:sz="0" w:space="0" w:color="auto"/>
        <w:right w:val="none" w:sz="0" w:space="0" w:color="auto"/>
      </w:divBdr>
    </w:div>
    <w:div w:id="1012991108">
      <w:bodyDiv w:val="1"/>
      <w:marLeft w:val="0"/>
      <w:marRight w:val="0"/>
      <w:marTop w:val="0"/>
      <w:marBottom w:val="0"/>
      <w:divBdr>
        <w:top w:val="none" w:sz="0" w:space="0" w:color="auto"/>
        <w:left w:val="none" w:sz="0" w:space="0" w:color="auto"/>
        <w:bottom w:val="none" w:sz="0" w:space="0" w:color="auto"/>
        <w:right w:val="none" w:sz="0" w:space="0" w:color="auto"/>
      </w:divBdr>
    </w:div>
    <w:div w:id="1026178621">
      <w:bodyDiv w:val="1"/>
      <w:marLeft w:val="0"/>
      <w:marRight w:val="0"/>
      <w:marTop w:val="0"/>
      <w:marBottom w:val="0"/>
      <w:divBdr>
        <w:top w:val="none" w:sz="0" w:space="0" w:color="auto"/>
        <w:left w:val="none" w:sz="0" w:space="0" w:color="auto"/>
        <w:bottom w:val="none" w:sz="0" w:space="0" w:color="auto"/>
        <w:right w:val="none" w:sz="0" w:space="0" w:color="auto"/>
      </w:divBdr>
    </w:div>
    <w:div w:id="1032879362">
      <w:bodyDiv w:val="1"/>
      <w:marLeft w:val="0"/>
      <w:marRight w:val="0"/>
      <w:marTop w:val="0"/>
      <w:marBottom w:val="0"/>
      <w:divBdr>
        <w:top w:val="none" w:sz="0" w:space="0" w:color="auto"/>
        <w:left w:val="none" w:sz="0" w:space="0" w:color="auto"/>
        <w:bottom w:val="none" w:sz="0" w:space="0" w:color="auto"/>
        <w:right w:val="none" w:sz="0" w:space="0" w:color="auto"/>
      </w:divBdr>
    </w:div>
    <w:div w:id="1050881174">
      <w:bodyDiv w:val="1"/>
      <w:marLeft w:val="0"/>
      <w:marRight w:val="0"/>
      <w:marTop w:val="0"/>
      <w:marBottom w:val="0"/>
      <w:divBdr>
        <w:top w:val="none" w:sz="0" w:space="0" w:color="auto"/>
        <w:left w:val="none" w:sz="0" w:space="0" w:color="auto"/>
        <w:bottom w:val="none" w:sz="0" w:space="0" w:color="auto"/>
        <w:right w:val="none" w:sz="0" w:space="0" w:color="auto"/>
      </w:divBdr>
    </w:div>
    <w:div w:id="1058284062">
      <w:bodyDiv w:val="1"/>
      <w:marLeft w:val="0"/>
      <w:marRight w:val="0"/>
      <w:marTop w:val="0"/>
      <w:marBottom w:val="0"/>
      <w:divBdr>
        <w:top w:val="none" w:sz="0" w:space="0" w:color="auto"/>
        <w:left w:val="none" w:sz="0" w:space="0" w:color="auto"/>
        <w:bottom w:val="none" w:sz="0" w:space="0" w:color="auto"/>
        <w:right w:val="none" w:sz="0" w:space="0" w:color="auto"/>
      </w:divBdr>
    </w:div>
    <w:div w:id="1111129374">
      <w:bodyDiv w:val="1"/>
      <w:marLeft w:val="0"/>
      <w:marRight w:val="0"/>
      <w:marTop w:val="0"/>
      <w:marBottom w:val="0"/>
      <w:divBdr>
        <w:top w:val="none" w:sz="0" w:space="0" w:color="auto"/>
        <w:left w:val="none" w:sz="0" w:space="0" w:color="auto"/>
        <w:bottom w:val="none" w:sz="0" w:space="0" w:color="auto"/>
        <w:right w:val="none" w:sz="0" w:space="0" w:color="auto"/>
      </w:divBdr>
    </w:div>
    <w:div w:id="1112628923">
      <w:bodyDiv w:val="1"/>
      <w:marLeft w:val="0"/>
      <w:marRight w:val="0"/>
      <w:marTop w:val="0"/>
      <w:marBottom w:val="0"/>
      <w:divBdr>
        <w:top w:val="none" w:sz="0" w:space="0" w:color="auto"/>
        <w:left w:val="none" w:sz="0" w:space="0" w:color="auto"/>
        <w:bottom w:val="none" w:sz="0" w:space="0" w:color="auto"/>
        <w:right w:val="none" w:sz="0" w:space="0" w:color="auto"/>
      </w:divBdr>
    </w:div>
    <w:div w:id="1124154754">
      <w:bodyDiv w:val="1"/>
      <w:marLeft w:val="0"/>
      <w:marRight w:val="0"/>
      <w:marTop w:val="0"/>
      <w:marBottom w:val="0"/>
      <w:divBdr>
        <w:top w:val="none" w:sz="0" w:space="0" w:color="auto"/>
        <w:left w:val="none" w:sz="0" w:space="0" w:color="auto"/>
        <w:bottom w:val="none" w:sz="0" w:space="0" w:color="auto"/>
        <w:right w:val="none" w:sz="0" w:space="0" w:color="auto"/>
      </w:divBdr>
    </w:div>
    <w:div w:id="1125923595">
      <w:bodyDiv w:val="1"/>
      <w:marLeft w:val="0"/>
      <w:marRight w:val="0"/>
      <w:marTop w:val="0"/>
      <w:marBottom w:val="0"/>
      <w:divBdr>
        <w:top w:val="none" w:sz="0" w:space="0" w:color="auto"/>
        <w:left w:val="none" w:sz="0" w:space="0" w:color="auto"/>
        <w:bottom w:val="none" w:sz="0" w:space="0" w:color="auto"/>
        <w:right w:val="none" w:sz="0" w:space="0" w:color="auto"/>
      </w:divBdr>
    </w:div>
    <w:div w:id="1138376031">
      <w:bodyDiv w:val="1"/>
      <w:marLeft w:val="0"/>
      <w:marRight w:val="0"/>
      <w:marTop w:val="0"/>
      <w:marBottom w:val="0"/>
      <w:divBdr>
        <w:top w:val="none" w:sz="0" w:space="0" w:color="auto"/>
        <w:left w:val="none" w:sz="0" w:space="0" w:color="auto"/>
        <w:bottom w:val="none" w:sz="0" w:space="0" w:color="auto"/>
        <w:right w:val="none" w:sz="0" w:space="0" w:color="auto"/>
      </w:divBdr>
    </w:div>
    <w:div w:id="1149245326">
      <w:bodyDiv w:val="1"/>
      <w:marLeft w:val="0"/>
      <w:marRight w:val="0"/>
      <w:marTop w:val="0"/>
      <w:marBottom w:val="0"/>
      <w:divBdr>
        <w:top w:val="none" w:sz="0" w:space="0" w:color="auto"/>
        <w:left w:val="none" w:sz="0" w:space="0" w:color="auto"/>
        <w:bottom w:val="none" w:sz="0" w:space="0" w:color="auto"/>
        <w:right w:val="none" w:sz="0" w:space="0" w:color="auto"/>
      </w:divBdr>
    </w:div>
    <w:div w:id="1173912789">
      <w:bodyDiv w:val="1"/>
      <w:marLeft w:val="0"/>
      <w:marRight w:val="0"/>
      <w:marTop w:val="0"/>
      <w:marBottom w:val="0"/>
      <w:divBdr>
        <w:top w:val="none" w:sz="0" w:space="0" w:color="auto"/>
        <w:left w:val="none" w:sz="0" w:space="0" w:color="auto"/>
        <w:bottom w:val="none" w:sz="0" w:space="0" w:color="auto"/>
        <w:right w:val="none" w:sz="0" w:space="0" w:color="auto"/>
      </w:divBdr>
    </w:div>
    <w:div w:id="1175877072">
      <w:bodyDiv w:val="1"/>
      <w:marLeft w:val="0"/>
      <w:marRight w:val="0"/>
      <w:marTop w:val="0"/>
      <w:marBottom w:val="0"/>
      <w:divBdr>
        <w:top w:val="none" w:sz="0" w:space="0" w:color="auto"/>
        <w:left w:val="none" w:sz="0" w:space="0" w:color="auto"/>
        <w:bottom w:val="none" w:sz="0" w:space="0" w:color="auto"/>
        <w:right w:val="none" w:sz="0" w:space="0" w:color="auto"/>
      </w:divBdr>
    </w:div>
    <w:div w:id="1178811259">
      <w:bodyDiv w:val="1"/>
      <w:marLeft w:val="0"/>
      <w:marRight w:val="0"/>
      <w:marTop w:val="0"/>
      <w:marBottom w:val="0"/>
      <w:divBdr>
        <w:top w:val="none" w:sz="0" w:space="0" w:color="auto"/>
        <w:left w:val="none" w:sz="0" w:space="0" w:color="auto"/>
        <w:bottom w:val="none" w:sz="0" w:space="0" w:color="auto"/>
        <w:right w:val="none" w:sz="0" w:space="0" w:color="auto"/>
      </w:divBdr>
    </w:div>
    <w:div w:id="1183126598">
      <w:bodyDiv w:val="1"/>
      <w:marLeft w:val="0"/>
      <w:marRight w:val="0"/>
      <w:marTop w:val="0"/>
      <w:marBottom w:val="0"/>
      <w:divBdr>
        <w:top w:val="none" w:sz="0" w:space="0" w:color="auto"/>
        <w:left w:val="none" w:sz="0" w:space="0" w:color="auto"/>
        <w:bottom w:val="none" w:sz="0" w:space="0" w:color="auto"/>
        <w:right w:val="none" w:sz="0" w:space="0" w:color="auto"/>
      </w:divBdr>
    </w:div>
    <w:div w:id="1199586948">
      <w:bodyDiv w:val="1"/>
      <w:marLeft w:val="0"/>
      <w:marRight w:val="0"/>
      <w:marTop w:val="0"/>
      <w:marBottom w:val="0"/>
      <w:divBdr>
        <w:top w:val="none" w:sz="0" w:space="0" w:color="auto"/>
        <w:left w:val="none" w:sz="0" w:space="0" w:color="auto"/>
        <w:bottom w:val="none" w:sz="0" w:space="0" w:color="auto"/>
        <w:right w:val="none" w:sz="0" w:space="0" w:color="auto"/>
      </w:divBdr>
    </w:div>
    <w:div w:id="1205214665">
      <w:bodyDiv w:val="1"/>
      <w:marLeft w:val="0"/>
      <w:marRight w:val="0"/>
      <w:marTop w:val="0"/>
      <w:marBottom w:val="0"/>
      <w:divBdr>
        <w:top w:val="none" w:sz="0" w:space="0" w:color="auto"/>
        <w:left w:val="none" w:sz="0" w:space="0" w:color="auto"/>
        <w:bottom w:val="none" w:sz="0" w:space="0" w:color="auto"/>
        <w:right w:val="none" w:sz="0" w:space="0" w:color="auto"/>
      </w:divBdr>
    </w:div>
    <w:div w:id="1235051028">
      <w:bodyDiv w:val="1"/>
      <w:marLeft w:val="0"/>
      <w:marRight w:val="0"/>
      <w:marTop w:val="0"/>
      <w:marBottom w:val="0"/>
      <w:divBdr>
        <w:top w:val="none" w:sz="0" w:space="0" w:color="auto"/>
        <w:left w:val="none" w:sz="0" w:space="0" w:color="auto"/>
        <w:bottom w:val="none" w:sz="0" w:space="0" w:color="auto"/>
        <w:right w:val="none" w:sz="0" w:space="0" w:color="auto"/>
      </w:divBdr>
    </w:div>
    <w:div w:id="1235630126">
      <w:bodyDiv w:val="1"/>
      <w:marLeft w:val="0"/>
      <w:marRight w:val="0"/>
      <w:marTop w:val="0"/>
      <w:marBottom w:val="0"/>
      <w:divBdr>
        <w:top w:val="none" w:sz="0" w:space="0" w:color="auto"/>
        <w:left w:val="none" w:sz="0" w:space="0" w:color="auto"/>
        <w:bottom w:val="none" w:sz="0" w:space="0" w:color="auto"/>
        <w:right w:val="none" w:sz="0" w:space="0" w:color="auto"/>
      </w:divBdr>
    </w:div>
    <w:div w:id="1238634140">
      <w:bodyDiv w:val="1"/>
      <w:marLeft w:val="0"/>
      <w:marRight w:val="0"/>
      <w:marTop w:val="0"/>
      <w:marBottom w:val="0"/>
      <w:divBdr>
        <w:top w:val="none" w:sz="0" w:space="0" w:color="auto"/>
        <w:left w:val="none" w:sz="0" w:space="0" w:color="auto"/>
        <w:bottom w:val="none" w:sz="0" w:space="0" w:color="auto"/>
        <w:right w:val="none" w:sz="0" w:space="0" w:color="auto"/>
      </w:divBdr>
    </w:div>
    <w:div w:id="1241453136">
      <w:bodyDiv w:val="1"/>
      <w:marLeft w:val="0"/>
      <w:marRight w:val="0"/>
      <w:marTop w:val="0"/>
      <w:marBottom w:val="0"/>
      <w:divBdr>
        <w:top w:val="none" w:sz="0" w:space="0" w:color="auto"/>
        <w:left w:val="none" w:sz="0" w:space="0" w:color="auto"/>
        <w:bottom w:val="none" w:sz="0" w:space="0" w:color="auto"/>
        <w:right w:val="none" w:sz="0" w:space="0" w:color="auto"/>
      </w:divBdr>
    </w:div>
    <w:div w:id="1257134728">
      <w:bodyDiv w:val="1"/>
      <w:marLeft w:val="0"/>
      <w:marRight w:val="0"/>
      <w:marTop w:val="0"/>
      <w:marBottom w:val="0"/>
      <w:divBdr>
        <w:top w:val="none" w:sz="0" w:space="0" w:color="auto"/>
        <w:left w:val="none" w:sz="0" w:space="0" w:color="auto"/>
        <w:bottom w:val="none" w:sz="0" w:space="0" w:color="auto"/>
        <w:right w:val="none" w:sz="0" w:space="0" w:color="auto"/>
      </w:divBdr>
    </w:div>
    <w:div w:id="1263685094">
      <w:bodyDiv w:val="1"/>
      <w:marLeft w:val="0"/>
      <w:marRight w:val="0"/>
      <w:marTop w:val="0"/>
      <w:marBottom w:val="0"/>
      <w:divBdr>
        <w:top w:val="none" w:sz="0" w:space="0" w:color="auto"/>
        <w:left w:val="none" w:sz="0" w:space="0" w:color="auto"/>
        <w:bottom w:val="none" w:sz="0" w:space="0" w:color="auto"/>
        <w:right w:val="none" w:sz="0" w:space="0" w:color="auto"/>
      </w:divBdr>
    </w:div>
    <w:div w:id="1269393225">
      <w:bodyDiv w:val="1"/>
      <w:marLeft w:val="0"/>
      <w:marRight w:val="0"/>
      <w:marTop w:val="0"/>
      <w:marBottom w:val="0"/>
      <w:divBdr>
        <w:top w:val="none" w:sz="0" w:space="0" w:color="auto"/>
        <w:left w:val="none" w:sz="0" w:space="0" w:color="auto"/>
        <w:bottom w:val="none" w:sz="0" w:space="0" w:color="auto"/>
        <w:right w:val="none" w:sz="0" w:space="0" w:color="auto"/>
      </w:divBdr>
    </w:div>
    <w:div w:id="1284119130">
      <w:bodyDiv w:val="1"/>
      <w:marLeft w:val="0"/>
      <w:marRight w:val="0"/>
      <w:marTop w:val="0"/>
      <w:marBottom w:val="0"/>
      <w:divBdr>
        <w:top w:val="none" w:sz="0" w:space="0" w:color="auto"/>
        <w:left w:val="none" w:sz="0" w:space="0" w:color="auto"/>
        <w:bottom w:val="none" w:sz="0" w:space="0" w:color="auto"/>
        <w:right w:val="none" w:sz="0" w:space="0" w:color="auto"/>
      </w:divBdr>
    </w:div>
    <w:div w:id="1297761394">
      <w:bodyDiv w:val="1"/>
      <w:marLeft w:val="0"/>
      <w:marRight w:val="0"/>
      <w:marTop w:val="0"/>
      <w:marBottom w:val="0"/>
      <w:divBdr>
        <w:top w:val="none" w:sz="0" w:space="0" w:color="auto"/>
        <w:left w:val="none" w:sz="0" w:space="0" w:color="auto"/>
        <w:bottom w:val="none" w:sz="0" w:space="0" w:color="auto"/>
        <w:right w:val="none" w:sz="0" w:space="0" w:color="auto"/>
      </w:divBdr>
    </w:div>
    <w:div w:id="1310869036">
      <w:bodyDiv w:val="1"/>
      <w:marLeft w:val="0"/>
      <w:marRight w:val="0"/>
      <w:marTop w:val="0"/>
      <w:marBottom w:val="0"/>
      <w:divBdr>
        <w:top w:val="none" w:sz="0" w:space="0" w:color="auto"/>
        <w:left w:val="none" w:sz="0" w:space="0" w:color="auto"/>
        <w:bottom w:val="none" w:sz="0" w:space="0" w:color="auto"/>
        <w:right w:val="none" w:sz="0" w:space="0" w:color="auto"/>
      </w:divBdr>
    </w:div>
    <w:div w:id="1342196585">
      <w:bodyDiv w:val="1"/>
      <w:marLeft w:val="0"/>
      <w:marRight w:val="0"/>
      <w:marTop w:val="0"/>
      <w:marBottom w:val="0"/>
      <w:divBdr>
        <w:top w:val="none" w:sz="0" w:space="0" w:color="auto"/>
        <w:left w:val="none" w:sz="0" w:space="0" w:color="auto"/>
        <w:bottom w:val="none" w:sz="0" w:space="0" w:color="auto"/>
        <w:right w:val="none" w:sz="0" w:space="0" w:color="auto"/>
      </w:divBdr>
    </w:div>
    <w:div w:id="1344817734">
      <w:bodyDiv w:val="1"/>
      <w:marLeft w:val="0"/>
      <w:marRight w:val="0"/>
      <w:marTop w:val="0"/>
      <w:marBottom w:val="0"/>
      <w:divBdr>
        <w:top w:val="none" w:sz="0" w:space="0" w:color="auto"/>
        <w:left w:val="none" w:sz="0" w:space="0" w:color="auto"/>
        <w:bottom w:val="none" w:sz="0" w:space="0" w:color="auto"/>
        <w:right w:val="none" w:sz="0" w:space="0" w:color="auto"/>
      </w:divBdr>
    </w:div>
    <w:div w:id="1350523747">
      <w:bodyDiv w:val="1"/>
      <w:marLeft w:val="0"/>
      <w:marRight w:val="0"/>
      <w:marTop w:val="0"/>
      <w:marBottom w:val="0"/>
      <w:divBdr>
        <w:top w:val="none" w:sz="0" w:space="0" w:color="auto"/>
        <w:left w:val="none" w:sz="0" w:space="0" w:color="auto"/>
        <w:bottom w:val="none" w:sz="0" w:space="0" w:color="auto"/>
        <w:right w:val="none" w:sz="0" w:space="0" w:color="auto"/>
      </w:divBdr>
    </w:div>
    <w:div w:id="1368749969">
      <w:bodyDiv w:val="1"/>
      <w:marLeft w:val="0"/>
      <w:marRight w:val="0"/>
      <w:marTop w:val="0"/>
      <w:marBottom w:val="0"/>
      <w:divBdr>
        <w:top w:val="none" w:sz="0" w:space="0" w:color="auto"/>
        <w:left w:val="none" w:sz="0" w:space="0" w:color="auto"/>
        <w:bottom w:val="none" w:sz="0" w:space="0" w:color="auto"/>
        <w:right w:val="none" w:sz="0" w:space="0" w:color="auto"/>
      </w:divBdr>
    </w:div>
    <w:div w:id="1370493015">
      <w:bodyDiv w:val="1"/>
      <w:marLeft w:val="0"/>
      <w:marRight w:val="0"/>
      <w:marTop w:val="0"/>
      <w:marBottom w:val="0"/>
      <w:divBdr>
        <w:top w:val="none" w:sz="0" w:space="0" w:color="auto"/>
        <w:left w:val="none" w:sz="0" w:space="0" w:color="auto"/>
        <w:bottom w:val="none" w:sz="0" w:space="0" w:color="auto"/>
        <w:right w:val="none" w:sz="0" w:space="0" w:color="auto"/>
      </w:divBdr>
    </w:div>
    <w:div w:id="1373842937">
      <w:bodyDiv w:val="1"/>
      <w:marLeft w:val="0"/>
      <w:marRight w:val="0"/>
      <w:marTop w:val="0"/>
      <w:marBottom w:val="0"/>
      <w:divBdr>
        <w:top w:val="none" w:sz="0" w:space="0" w:color="auto"/>
        <w:left w:val="none" w:sz="0" w:space="0" w:color="auto"/>
        <w:bottom w:val="none" w:sz="0" w:space="0" w:color="auto"/>
        <w:right w:val="none" w:sz="0" w:space="0" w:color="auto"/>
      </w:divBdr>
    </w:div>
    <w:div w:id="1382094083">
      <w:bodyDiv w:val="1"/>
      <w:marLeft w:val="0"/>
      <w:marRight w:val="0"/>
      <w:marTop w:val="0"/>
      <w:marBottom w:val="0"/>
      <w:divBdr>
        <w:top w:val="none" w:sz="0" w:space="0" w:color="auto"/>
        <w:left w:val="none" w:sz="0" w:space="0" w:color="auto"/>
        <w:bottom w:val="none" w:sz="0" w:space="0" w:color="auto"/>
        <w:right w:val="none" w:sz="0" w:space="0" w:color="auto"/>
      </w:divBdr>
    </w:div>
    <w:div w:id="1403597614">
      <w:bodyDiv w:val="1"/>
      <w:marLeft w:val="0"/>
      <w:marRight w:val="0"/>
      <w:marTop w:val="0"/>
      <w:marBottom w:val="0"/>
      <w:divBdr>
        <w:top w:val="none" w:sz="0" w:space="0" w:color="auto"/>
        <w:left w:val="none" w:sz="0" w:space="0" w:color="auto"/>
        <w:bottom w:val="none" w:sz="0" w:space="0" w:color="auto"/>
        <w:right w:val="none" w:sz="0" w:space="0" w:color="auto"/>
      </w:divBdr>
    </w:div>
    <w:div w:id="1426881994">
      <w:bodyDiv w:val="1"/>
      <w:marLeft w:val="0"/>
      <w:marRight w:val="0"/>
      <w:marTop w:val="0"/>
      <w:marBottom w:val="0"/>
      <w:divBdr>
        <w:top w:val="none" w:sz="0" w:space="0" w:color="auto"/>
        <w:left w:val="none" w:sz="0" w:space="0" w:color="auto"/>
        <w:bottom w:val="none" w:sz="0" w:space="0" w:color="auto"/>
        <w:right w:val="none" w:sz="0" w:space="0" w:color="auto"/>
      </w:divBdr>
    </w:div>
    <w:div w:id="1474710426">
      <w:bodyDiv w:val="1"/>
      <w:marLeft w:val="0"/>
      <w:marRight w:val="0"/>
      <w:marTop w:val="0"/>
      <w:marBottom w:val="0"/>
      <w:divBdr>
        <w:top w:val="none" w:sz="0" w:space="0" w:color="auto"/>
        <w:left w:val="none" w:sz="0" w:space="0" w:color="auto"/>
        <w:bottom w:val="none" w:sz="0" w:space="0" w:color="auto"/>
        <w:right w:val="none" w:sz="0" w:space="0" w:color="auto"/>
      </w:divBdr>
    </w:div>
    <w:div w:id="1487623378">
      <w:bodyDiv w:val="1"/>
      <w:marLeft w:val="0"/>
      <w:marRight w:val="0"/>
      <w:marTop w:val="0"/>
      <w:marBottom w:val="0"/>
      <w:divBdr>
        <w:top w:val="none" w:sz="0" w:space="0" w:color="auto"/>
        <w:left w:val="none" w:sz="0" w:space="0" w:color="auto"/>
        <w:bottom w:val="none" w:sz="0" w:space="0" w:color="auto"/>
        <w:right w:val="none" w:sz="0" w:space="0" w:color="auto"/>
      </w:divBdr>
    </w:div>
    <w:div w:id="1507983434">
      <w:bodyDiv w:val="1"/>
      <w:marLeft w:val="0"/>
      <w:marRight w:val="0"/>
      <w:marTop w:val="0"/>
      <w:marBottom w:val="0"/>
      <w:divBdr>
        <w:top w:val="none" w:sz="0" w:space="0" w:color="auto"/>
        <w:left w:val="none" w:sz="0" w:space="0" w:color="auto"/>
        <w:bottom w:val="none" w:sz="0" w:space="0" w:color="auto"/>
        <w:right w:val="none" w:sz="0" w:space="0" w:color="auto"/>
      </w:divBdr>
    </w:div>
    <w:div w:id="1532306637">
      <w:bodyDiv w:val="1"/>
      <w:marLeft w:val="0"/>
      <w:marRight w:val="0"/>
      <w:marTop w:val="0"/>
      <w:marBottom w:val="0"/>
      <w:divBdr>
        <w:top w:val="none" w:sz="0" w:space="0" w:color="auto"/>
        <w:left w:val="none" w:sz="0" w:space="0" w:color="auto"/>
        <w:bottom w:val="none" w:sz="0" w:space="0" w:color="auto"/>
        <w:right w:val="none" w:sz="0" w:space="0" w:color="auto"/>
      </w:divBdr>
    </w:div>
    <w:div w:id="1540972252">
      <w:bodyDiv w:val="1"/>
      <w:marLeft w:val="0"/>
      <w:marRight w:val="0"/>
      <w:marTop w:val="0"/>
      <w:marBottom w:val="0"/>
      <w:divBdr>
        <w:top w:val="none" w:sz="0" w:space="0" w:color="auto"/>
        <w:left w:val="none" w:sz="0" w:space="0" w:color="auto"/>
        <w:bottom w:val="none" w:sz="0" w:space="0" w:color="auto"/>
        <w:right w:val="none" w:sz="0" w:space="0" w:color="auto"/>
      </w:divBdr>
    </w:div>
    <w:div w:id="1544904011">
      <w:bodyDiv w:val="1"/>
      <w:marLeft w:val="0"/>
      <w:marRight w:val="0"/>
      <w:marTop w:val="0"/>
      <w:marBottom w:val="0"/>
      <w:divBdr>
        <w:top w:val="none" w:sz="0" w:space="0" w:color="auto"/>
        <w:left w:val="none" w:sz="0" w:space="0" w:color="auto"/>
        <w:bottom w:val="none" w:sz="0" w:space="0" w:color="auto"/>
        <w:right w:val="none" w:sz="0" w:space="0" w:color="auto"/>
      </w:divBdr>
    </w:div>
    <w:div w:id="1551843358">
      <w:bodyDiv w:val="1"/>
      <w:marLeft w:val="0"/>
      <w:marRight w:val="0"/>
      <w:marTop w:val="0"/>
      <w:marBottom w:val="0"/>
      <w:divBdr>
        <w:top w:val="none" w:sz="0" w:space="0" w:color="auto"/>
        <w:left w:val="none" w:sz="0" w:space="0" w:color="auto"/>
        <w:bottom w:val="none" w:sz="0" w:space="0" w:color="auto"/>
        <w:right w:val="none" w:sz="0" w:space="0" w:color="auto"/>
      </w:divBdr>
    </w:div>
    <w:div w:id="1552034206">
      <w:bodyDiv w:val="1"/>
      <w:marLeft w:val="0"/>
      <w:marRight w:val="0"/>
      <w:marTop w:val="0"/>
      <w:marBottom w:val="0"/>
      <w:divBdr>
        <w:top w:val="none" w:sz="0" w:space="0" w:color="auto"/>
        <w:left w:val="none" w:sz="0" w:space="0" w:color="auto"/>
        <w:bottom w:val="none" w:sz="0" w:space="0" w:color="auto"/>
        <w:right w:val="none" w:sz="0" w:space="0" w:color="auto"/>
      </w:divBdr>
    </w:div>
    <w:div w:id="1556501327">
      <w:bodyDiv w:val="1"/>
      <w:marLeft w:val="0"/>
      <w:marRight w:val="0"/>
      <w:marTop w:val="0"/>
      <w:marBottom w:val="0"/>
      <w:divBdr>
        <w:top w:val="none" w:sz="0" w:space="0" w:color="auto"/>
        <w:left w:val="none" w:sz="0" w:space="0" w:color="auto"/>
        <w:bottom w:val="none" w:sz="0" w:space="0" w:color="auto"/>
        <w:right w:val="none" w:sz="0" w:space="0" w:color="auto"/>
      </w:divBdr>
    </w:div>
    <w:div w:id="1584950885">
      <w:bodyDiv w:val="1"/>
      <w:marLeft w:val="0"/>
      <w:marRight w:val="0"/>
      <w:marTop w:val="0"/>
      <w:marBottom w:val="0"/>
      <w:divBdr>
        <w:top w:val="none" w:sz="0" w:space="0" w:color="auto"/>
        <w:left w:val="none" w:sz="0" w:space="0" w:color="auto"/>
        <w:bottom w:val="none" w:sz="0" w:space="0" w:color="auto"/>
        <w:right w:val="none" w:sz="0" w:space="0" w:color="auto"/>
      </w:divBdr>
    </w:div>
    <w:div w:id="1588998343">
      <w:bodyDiv w:val="1"/>
      <w:marLeft w:val="0"/>
      <w:marRight w:val="0"/>
      <w:marTop w:val="0"/>
      <w:marBottom w:val="0"/>
      <w:divBdr>
        <w:top w:val="none" w:sz="0" w:space="0" w:color="auto"/>
        <w:left w:val="none" w:sz="0" w:space="0" w:color="auto"/>
        <w:bottom w:val="none" w:sz="0" w:space="0" w:color="auto"/>
        <w:right w:val="none" w:sz="0" w:space="0" w:color="auto"/>
      </w:divBdr>
    </w:div>
    <w:div w:id="1595015820">
      <w:bodyDiv w:val="1"/>
      <w:marLeft w:val="0"/>
      <w:marRight w:val="0"/>
      <w:marTop w:val="0"/>
      <w:marBottom w:val="0"/>
      <w:divBdr>
        <w:top w:val="none" w:sz="0" w:space="0" w:color="auto"/>
        <w:left w:val="none" w:sz="0" w:space="0" w:color="auto"/>
        <w:bottom w:val="none" w:sz="0" w:space="0" w:color="auto"/>
        <w:right w:val="none" w:sz="0" w:space="0" w:color="auto"/>
      </w:divBdr>
    </w:div>
    <w:div w:id="1606384089">
      <w:bodyDiv w:val="1"/>
      <w:marLeft w:val="0"/>
      <w:marRight w:val="0"/>
      <w:marTop w:val="0"/>
      <w:marBottom w:val="0"/>
      <w:divBdr>
        <w:top w:val="none" w:sz="0" w:space="0" w:color="auto"/>
        <w:left w:val="none" w:sz="0" w:space="0" w:color="auto"/>
        <w:bottom w:val="none" w:sz="0" w:space="0" w:color="auto"/>
        <w:right w:val="none" w:sz="0" w:space="0" w:color="auto"/>
      </w:divBdr>
    </w:div>
    <w:div w:id="1620723389">
      <w:bodyDiv w:val="1"/>
      <w:marLeft w:val="0"/>
      <w:marRight w:val="0"/>
      <w:marTop w:val="0"/>
      <w:marBottom w:val="0"/>
      <w:divBdr>
        <w:top w:val="none" w:sz="0" w:space="0" w:color="auto"/>
        <w:left w:val="none" w:sz="0" w:space="0" w:color="auto"/>
        <w:bottom w:val="none" w:sz="0" w:space="0" w:color="auto"/>
        <w:right w:val="none" w:sz="0" w:space="0" w:color="auto"/>
      </w:divBdr>
    </w:div>
    <w:div w:id="1637418199">
      <w:bodyDiv w:val="1"/>
      <w:marLeft w:val="0"/>
      <w:marRight w:val="0"/>
      <w:marTop w:val="0"/>
      <w:marBottom w:val="0"/>
      <w:divBdr>
        <w:top w:val="none" w:sz="0" w:space="0" w:color="auto"/>
        <w:left w:val="none" w:sz="0" w:space="0" w:color="auto"/>
        <w:bottom w:val="none" w:sz="0" w:space="0" w:color="auto"/>
        <w:right w:val="none" w:sz="0" w:space="0" w:color="auto"/>
      </w:divBdr>
    </w:div>
    <w:div w:id="1642004694">
      <w:bodyDiv w:val="1"/>
      <w:marLeft w:val="0"/>
      <w:marRight w:val="0"/>
      <w:marTop w:val="0"/>
      <w:marBottom w:val="0"/>
      <w:divBdr>
        <w:top w:val="none" w:sz="0" w:space="0" w:color="auto"/>
        <w:left w:val="none" w:sz="0" w:space="0" w:color="auto"/>
        <w:bottom w:val="none" w:sz="0" w:space="0" w:color="auto"/>
        <w:right w:val="none" w:sz="0" w:space="0" w:color="auto"/>
      </w:divBdr>
    </w:div>
    <w:div w:id="1644843901">
      <w:bodyDiv w:val="1"/>
      <w:marLeft w:val="0"/>
      <w:marRight w:val="0"/>
      <w:marTop w:val="0"/>
      <w:marBottom w:val="0"/>
      <w:divBdr>
        <w:top w:val="none" w:sz="0" w:space="0" w:color="auto"/>
        <w:left w:val="none" w:sz="0" w:space="0" w:color="auto"/>
        <w:bottom w:val="none" w:sz="0" w:space="0" w:color="auto"/>
        <w:right w:val="none" w:sz="0" w:space="0" w:color="auto"/>
      </w:divBdr>
    </w:div>
    <w:div w:id="1647707892">
      <w:bodyDiv w:val="1"/>
      <w:marLeft w:val="0"/>
      <w:marRight w:val="0"/>
      <w:marTop w:val="0"/>
      <w:marBottom w:val="0"/>
      <w:divBdr>
        <w:top w:val="none" w:sz="0" w:space="0" w:color="auto"/>
        <w:left w:val="none" w:sz="0" w:space="0" w:color="auto"/>
        <w:bottom w:val="none" w:sz="0" w:space="0" w:color="auto"/>
        <w:right w:val="none" w:sz="0" w:space="0" w:color="auto"/>
      </w:divBdr>
    </w:div>
    <w:div w:id="1659336240">
      <w:bodyDiv w:val="1"/>
      <w:marLeft w:val="0"/>
      <w:marRight w:val="0"/>
      <w:marTop w:val="0"/>
      <w:marBottom w:val="0"/>
      <w:divBdr>
        <w:top w:val="none" w:sz="0" w:space="0" w:color="auto"/>
        <w:left w:val="none" w:sz="0" w:space="0" w:color="auto"/>
        <w:bottom w:val="none" w:sz="0" w:space="0" w:color="auto"/>
        <w:right w:val="none" w:sz="0" w:space="0" w:color="auto"/>
      </w:divBdr>
    </w:div>
    <w:div w:id="1668091964">
      <w:bodyDiv w:val="1"/>
      <w:marLeft w:val="0"/>
      <w:marRight w:val="0"/>
      <w:marTop w:val="0"/>
      <w:marBottom w:val="0"/>
      <w:divBdr>
        <w:top w:val="none" w:sz="0" w:space="0" w:color="auto"/>
        <w:left w:val="none" w:sz="0" w:space="0" w:color="auto"/>
        <w:bottom w:val="none" w:sz="0" w:space="0" w:color="auto"/>
        <w:right w:val="none" w:sz="0" w:space="0" w:color="auto"/>
      </w:divBdr>
    </w:div>
    <w:div w:id="1669097028">
      <w:bodyDiv w:val="1"/>
      <w:marLeft w:val="0"/>
      <w:marRight w:val="0"/>
      <w:marTop w:val="0"/>
      <w:marBottom w:val="0"/>
      <w:divBdr>
        <w:top w:val="none" w:sz="0" w:space="0" w:color="auto"/>
        <w:left w:val="none" w:sz="0" w:space="0" w:color="auto"/>
        <w:bottom w:val="none" w:sz="0" w:space="0" w:color="auto"/>
        <w:right w:val="none" w:sz="0" w:space="0" w:color="auto"/>
      </w:divBdr>
    </w:div>
    <w:div w:id="1676229258">
      <w:bodyDiv w:val="1"/>
      <w:marLeft w:val="0"/>
      <w:marRight w:val="0"/>
      <w:marTop w:val="0"/>
      <w:marBottom w:val="0"/>
      <w:divBdr>
        <w:top w:val="none" w:sz="0" w:space="0" w:color="auto"/>
        <w:left w:val="none" w:sz="0" w:space="0" w:color="auto"/>
        <w:bottom w:val="none" w:sz="0" w:space="0" w:color="auto"/>
        <w:right w:val="none" w:sz="0" w:space="0" w:color="auto"/>
      </w:divBdr>
    </w:div>
    <w:div w:id="1683162049">
      <w:bodyDiv w:val="1"/>
      <w:marLeft w:val="0"/>
      <w:marRight w:val="0"/>
      <w:marTop w:val="0"/>
      <w:marBottom w:val="0"/>
      <w:divBdr>
        <w:top w:val="none" w:sz="0" w:space="0" w:color="auto"/>
        <w:left w:val="none" w:sz="0" w:space="0" w:color="auto"/>
        <w:bottom w:val="none" w:sz="0" w:space="0" w:color="auto"/>
        <w:right w:val="none" w:sz="0" w:space="0" w:color="auto"/>
      </w:divBdr>
    </w:div>
    <w:div w:id="1684241500">
      <w:bodyDiv w:val="1"/>
      <w:marLeft w:val="0"/>
      <w:marRight w:val="0"/>
      <w:marTop w:val="0"/>
      <w:marBottom w:val="0"/>
      <w:divBdr>
        <w:top w:val="none" w:sz="0" w:space="0" w:color="auto"/>
        <w:left w:val="none" w:sz="0" w:space="0" w:color="auto"/>
        <w:bottom w:val="none" w:sz="0" w:space="0" w:color="auto"/>
        <w:right w:val="none" w:sz="0" w:space="0" w:color="auto"/>
      </w:divBdr>
    </w:div>
    <w:div w:id="1686905044">
      <w:bodyDiv w:val="1"/>
      <w:marLeft w:val="0"/>
      <w:marRight w:val="0"/>
      <w:marTop w:val="0"/>
      <w:marBottom w:val="0"/>
      <w:divBdr>
        <w:top w:val="none" w:sz="0" w:space="0" w:color="auto"/>
        <w:left w:val="none" w:sz="0" w:space="0" w:color="auto"/>
        <w:bottom w:val="none" w:sz="0" w:space="0" w:color="auto"/>
        <w:right w:val="none" w:sz="0" w:space="0" w:color="auto"/>
      </w:divBdr>
    </w:div>
    <w:div w:id="1702515439">
      <w:bodyDiv w:val="1"/>
      <w:marLeft w:val="0"/>
      <w:marRight w:val="0"/>
      <w:marTop w:val="0"/>
      <w:marBottom w:val="0"/>
      <w:divBdr>
        <w:top w:val="none" w:sz="0" w:space="0" w:color="auto"/>
        <w:left w:val="none" w:sz="0" w:space="0" w:color="auto"/>
        <w:bottom w:val="none" w:sz="0" w:space="0" w:color="auto"/>
        <w:right w:val="none" w:sz="0" w:space="0" w:color="auto"/>
      </w:divBdr>
    </w:div>
    <w:div w:id="1712607871">
      <w:bodyDiv w:val="1"/>
      <w:marLeft w:val="0"/>
      <w:marRight w:val="0"/>
      <w:marTop w:val="0"/>
      <w:marBottom w:val="0"/>
      <w:divBdr>
        <w:top w:val="none" w:sz="0" w:space="0" w:color="auto"/>
        <w:left w:val="none" w:sz="0" w:space="0" w:color="auto"/>
        <w:bottom w:val="none" w:sz="0" w:space="0" w:color="auto"/>
        <w:right w:val="none" w:sz="0" w:space="0" w:color="auto"/>
      </w:divBdr>
    </w:div>
    <w:div w:id="1718045699">
      <w:bodyDiv w:val="1"/>
      <w:marLeft w:val="0"/>
      <w:marRight w:val="0"/>
      <w:marTop w:val="0"/>
      <w:marBottom w:val="0"/>
      <w:divBdr>
        <w:top w:val="none" w:sz="0" w:space="0" w:color="auto"/>
        <w:left w:val="none" w:sz="0" w:space="0" w:color="auto"/>
        <w:bottom w:val="none" w:sz="0" w:space="0" w:color="auto"/>
        <w:right w:val="none" w:sz="0" w:space="0" w:color="auto"/>
      </w:divBdr>
    </w:div>
    <w:div w:id="1718116761">
      <w:bodyDiv w:val="1"/>
      <w:marLeft w:val="0"/>
      <w:marRight w:val="0"/>
      <w:marTop w:val="0"/>
      <w:marBottom w:val="0"/>
      <w:divBdr>
        <w:top w:val="none" w:sz="0" w:space="0" w:color="auto"/>
        <w:left w:val="none" w:sz="0" w:space="0" w:color="auto"/>
        <w:bottom w:val="none" w:sz="0" w:space="0" w:color="auto"/>
        <w:right w:val="none" w:sz="0" w:space="0" w:color="auto"/>
      </w:divBdr>
    </w:div>
    <w:div w:id="1722747727">
      <w:bodyDiv w:val="1"/>
      <w:marLeft w:val="0"/>
      <w:marRight w:val="0"/>
      <w:marTop w:val="0"/>
      <w:marBottom w:val="0"/>
      <w:divBdr>
        <w:top w:val="none" w:sz="0" w:space="0" w:color="auto"/>
        <w:left w:val="none" w:sz="0" w:space="0" w:color="auto"/>
        <w:bottom w:val="none" w:sz="0" w:space="0" w:color="auto"/>
        <w:right w:val="none" w:sz="0" w:space="0" w:color="auto"/>
      </w:divBdr>
    </w:div>
    <w:div w:id="1734742622">
      <w:bodyDiv w:val="1"/>
      <w:marLeft w:val="0"/>
      <w:marRight w:val="0"/>
      <w:marTop w:val="0"/>
      <w:marBottom w:val="0"/>
      <w:divBdr>
        <w:top w:val="none" w:sz="0" w:space="0" w:color="auto"/>
        <w:left w:val="none" w:sz="0" w:space="0" w:color="auto"/>
        <w:bottom w:val="none" w:sz="0" w:space="0" w:color="auto"/>
        <w:right w:val="none" w:sz="0" w:space="0" w:color="auto"/>
      </w:divBdr>
    </w:div>
    <w:div w:id="1738240542">
      <w:bodyDiv w:val="1"/>
      <w:marLeft w:val="0"/>
      <w:marRight w:val="0"/>
      <w:marTop w:val="0"/>
      <w:marBottom w:val="0"/>
      <w:divBdr>
        <w:top w:val="none" w:sz="0" w:space="0" w:color="auto"/>
        <w:left w:val="none" w:sz="0" w:space="0" w:color="auto"/>
        <w:bottom w:val="none" w:sz="0" w:space="0" w:color="auto"/>
        <w:right w:val="none" w:sz="0" w:space="0" w:color="auto"/>
      </w:divBdr>
    </w:div>
    <w:div w:id="1768959985">
      <w:bodyDiv w:val="1"/>
      <w:marLeft w:val="0"/>
      <w:marRight w:val="0"/>
      <w:marTop w:val="0"/>
      <w:marBottom w:val="0"/>
      <w:divBdr>
        <w:top w:val="none" w:sz="0" w:space="0" w:color="auto"/>
        <w:left w:val="none" w:sz="0" w:space="0" w:color="auto"/>
        <w:bottom w:val="none" w:sz="0" w:space="0" w:color="auto"/>
        <w:right w:val="none" w:sz="0" w:space="0" w:color="auto"/>
      </w:divBdr>
    </w:div>
    <w:div w:id="1781802777">
      <w:bodyDiv w:val="1"/>
      <w:marLeft w:val="0"/>
      <w:marRight w:val="0"/>
      <w:marTop w:val="0"/>
      <w:marBottom w:val="0"/>
      <w:divBdr>
        <w:top w:val="none" w:sz="0" w:space="0" w:color="auto"/>
        <w:left w:val="none" w:sz="0" w:space="0" w:color="auto"/>
        <w:bottom w:val="none" w:sz="0" w:space="0" w:color="auto"/>
        <w:right w:val="none" w:sz="0" w:space="0" w:color="auto"/>
      </w:divBdr>
    </w:div>
    <w:div w:id="1790708651">
      <w:bodyDiv w:val="1"/>
      <w:marLeft w:val="0"/>
      <w:marRight w:val="0"/>
      <w:marTop w:val="0"/>
      <w:marBottom w:val="0"/>
      <w:divBdr>
        <w:top w:val="none" w:sz="0" w:space="0" w:color="auto"/>
        <w:left w:val="none" w:sz="0" w:space="0" w:color="auto"/>
        <w:bottom w:val="none" w:sz="0" w:space="0" w:color="auto"/>
        <w:right w:val="none" w:sz="0" w:space="0" w:color="auto"/>
      </w:divBdr>
    </w:div>
    <w:div w:id="1806389362">
      <w:bodyDiv w:val="1"/>
      <w:marLeft w:val="0"/>
      <w:marRight w:val="0"/>
      <w:marTop w:val="0"/>
      <w:marBottom w:val="0"/>
      <w:divBdr>
        <w:top w:val="none" w:sz="0" w:space="0" w:color="auto"/>
        <w:left w:val="none" w:sz="0" w:space="0" w:color="auto"/>
        <w:bottom w:val="none" w:sz="0" w:space="0" w:color="auto"/>
        <w:right w:val="none" w:sz="0" w:space="0" w:color="auto"/>
      </w:divBdr>
    </w:div>
    <w:div w:id="1806654700">
      <w:bodyDiv w:val="1"/>
      <w:marLeft w:val="0"/>
      <w:marRight w:val="0"/>
      <w:marTop w:val="0"/>
      <w:marBottom w:val="0"/>
      <w:divBdr>
        <w:top w:val="none" w:sz="0" w:space="0" w:color="auto"/>
        <w:left w:val="none" w:sz="0" w:space="0" w:color="auto"/>
        <w:bottom w:val="none" w:sz="0" w:space="0" w:color="auto"/>
        <w:right w:val="none" w:sz="0" w:space="0" w:color="auto"/>
      </w:divBdr>
    </w:div>
    <w:div w:id="1814565260">
      <w:bodyDiv w:val="1"/>
      <w:marLeft w:val="0"/>
      <w:marRight w:val="0"/>
      <w:marTop w:val="0"/>
      <w:marBottom w:val="0"/>
      <w:divBdr>
        <w:top w:val="none" w:sz="0" w:space="0" w:color="auto"/>
        <w:left w:val="none" w:sz="0" w:space="0" w:color="auto"/>
        <w:bottom w:val="none" w:sz="0" w:space="0" w:color="auto"/>
        <w:right w:val="none" w:sz="0" w:space="0" w:color="auto"/>
      </w:divBdr>
    </w:div>
    <w:div w:id="1815290895">
      <w:bodyDiv w:val="1"/>
      <w:marLeft w:val="0"/>
      <w:marRight w:val="0"/>
      <w:marTop w:val="0"/>
      <w:marBottom w:val="0"/>
      <w:divBdr>
        <w:top w:val="none" w:sz="0" w:space="0" w:color="auto"/>
        <w:left w:val="none" w:sz="0" w:space="0" w:color="auto"/>
        <w:bottom w:val="none" w:sz="0" w:space="0" w:color="auto"/>
        <w:right w:val="none" w:sz="0" w:space="0" w:color="auto"/>
      </w:divBdr>
    </w:div>
    <w:div w:id="1817065365">
      <w:bodyDiv w:val="1"/>
      <w:marLeft w:val="0"/>
      <w:marRight w:val="0"/>
      <w:marTop w:val="0"/>
      <w:marBottom w:val="0"/>
      <w:divBdr>
        <w:top w:val="none" w:sz="0" w:space="0" w:color="auto"/>
        <w:left w:val="none" w:sz="0" w:space="0" w:color="auto"/>
        <w:bottom w:val="none" w:sz="0" w:space="0" w:color="auto"/>
        <w:right w:val="none" w:sz="0" w:space="0" w:color="auto"/>
      </w:divBdr>
    </w:div>
    <w:div w:id="1826315314">
      <w:bodyDiv w:val="1"/>
      <w:marLeft w:val="0"/>
      <w:marRight w:val="0"/>
      <w:marTop w:val="0"/>
      <w:marBottom w:val="0"/>
      <w:divBdr>
        <w:top w:val="none" w:sz="0" w:space="0" w:color="auto"/>
        <w:left w:val="none" w:sz="0" w:space="0" w:color="auto"/>
        <w:bottom w:val="none" w:sz="0" w:space="0" w:color="auto"/>
        <w:right w:val="none" w:sz="0" w:space="0" w:color="auto"/>
      </w:divBdr>
    </w:div>
    <w:div w:id="1844708235">
      <w:bodyDiv w:val="1"/>
      <w:marLeft w:val="0"/>
      <w:marRight w:val="0"/>
      <w:marTop w:val="0"/>
      <w:marBottom w:val="0"/>
      <w:divBdr>
        <w:top w:val="none" w:sz="0" w:space="0" w:color="auto"/>
        <w:left w:val="none" w:sz="0" w:space="0" w:color="auto"/>
        <w:bottom w:val="none" w:sz="0" w:space="0" w:color="auto"/>
        <w:right w:val="none" w:sz="0" w:space="0" w:color="auto"/>
      </w:divBdr>
    </w:div>
    <w:div w:id="1854612313">
      <w:bodyDiv w:val="1"/>
      <w:marLeft w:val="0"/>
      <w:marRight w:val="0"/>
      <w:marTop w:val="0"/>
      <w:marBottom w:val="0"/>
      <w:divBdr>
        <w:top w:val="none" w:sz="0" w:space="0" w:color="auto"/>
        <w:left w:val="none" w:sz="0" w:space="0" w:color="auto"/>
        <w:bottom w:val="none" w:sz="0" w:space="0" w:color="auto"/>
        <w:right w:val="none" w:sz="0" w:space="0" w:color="auto"/>
      </w:divBdr>
    </w:div>
    <w:div w:id="1861815099">
      <w:bodyDiv w:val="1"/>
      <w:marLeft w:val="0"/>
      <w:marRight w:val="0"/>
      <w:marTop w:val="0"/>
      <w:marBottom w:val="0"/>
      <w:divBdr>
        <w:top w:val="none" w:sz="0" w:space="0" w:color="auto"/>
        <w:left w:val="none" w:sz="0" w:space="0" w:color="auto"/>
        <w:bottom w:val="none" w:sz="0" w:space="0" w:color="auto"/>
        <w:right w:val="none" w:sz="0" w:space="0" w:color="auto"/>
      </w:divBdr>
    </w:div>
    <w:div w:id="1870332363">
      <w:bodyDiv w:val="1"/>
      <w:marLeft w:val="0"/>
      <w:marRight w:val="0"/>
      <w:marTop w:val="0"/>
      <w:marBottom w:val="0"/>
      <w:divBdr>
        <w:top w:val="none" w:sz="0" w:space="0" w:color="auto"/>
        <w:left w:val="none" w:sz="0" w:space="0" w:color="auto"/>
        <w:bottom w:val="none" w:sz="0" w:space="0" w:color="auto"/>
        <w:right w:val="none" w:sz="0" w:space="0" w:color="auto"/>
      </w:divBdr>
    </w:div>
    <w:div w:id="1883128574">
      <w:bodyDiv w:val="1"/>
      <w:marLeft w:val="0"/>
      <w:marRight w:val="0"/>
      <w:marTop w:val="0"/>
      <w:marBottom w:val="0"/>
      <w:divBdr>
        <w:top w:val="none" w:sz="0" w:space="0" w:color="auto"/>
        <w:left w:val="none" w:sz="0" w:space="0" w:color="auto"/>
        <w:bottom w:val="none" w:sz="0" w:space="0" w:color="auto"/>
        <w:right w:val="none" w:sz="0" w:space="0" w:color="auto"/>
      </w:divBdr>
    </w:div>
    <w:div w:id="1884949327">
      <w:bodyDiv w:val="1"/>
      <w:marLeft w:val="0"/>
      <w:marRight w:val="0"/>
      <w:marTop w:val="0"/>
      <w:marBottom w:val="0"/>
      <w:divBdr>
        <w:top w:val="none" w:sz="0" w:space="0" w:color="auto"/>
        <w:left w:val="none" w:sz="0" w:space="0" w:color="auto"/>
        <w:bottom w:val="none" w:sz="0" w:space="0" w:color="auto"/>
        <w:right w:val="none" w:sz="0" w:space="0" w:color="auto"/>
      </w:divBdr>
    </w:div>
    <w:div w:id="1886259763">
      <w:bodyDiv w:val="1"/>
      <w:marLeft w:val="0"/>
      <w:marRight w:val="0"/>
      <w:marTop w:val="0"/>
      <w:marBottom w:val="0"/>
      <w:divBdr>
        <w:top w:val="none" w:sz="0" w:space="0" w:color="auto"/>
        <w:left w:val="none" w:sz="0" w:space="0" w:color="auto"/>
        <w:bottom w:val="none" w:sz="0" w:space="0" w:color="auto"/>
        <w:right w:val="none" w:sz="0" w:space="0" w:color="auto"/>
      </w:divBdr>
    </w:div>
    <w:div w:id="1887914402">
      <w:bodyDiv w:val="1"/>
      <w:marLeft w:val="0"/>
      <w:marRight w:val="0"/>
      <w:marTop w:val="0"/>
      <w:marBottom w:val="0"/>
      <w:divBdr>
        <w:top w:val="none" w:sz="0" w:space="0" w:color="auto"/>
        <w:left w:val="none" w:sz="0" w:space="0" w:color="auto"/>
        <w:bottom w:val="none" w:sz="0" w:space="0" w:color="auto"/>
        <w:right w:val="none" w:sz="0" w:space="0" w:color="auto"/>
      </w:divBdr>
    </w:div>
    <w:div w:id="1889485001">
      <w:bodyDiv w:val="1"/>
      <w:marLeft w:val="0"/>
      <w:marRight w:val="0"/>
      <w:marTop w:val="0"/>
      <w:marBottom w:val="0"/>
      <w:divBdr>
        <w:top w:val="none" w:sz="0" w:space="0" w:color="auto"/>
        <w:left w:val="none" w:sz="0" w:space="0" w:color="auto"/>
        <w:bottom w:val="none" w:sz="0" w:space="0" w:color="auto"/>
        <w:right w:val="none" w:sz="0" w:space="0" w:color="auto"/>
      </w:divBdr>
    </w:div>
    <w:div w:id="1903326473">
      <w:bodyDiv w:val="1"/>
      <w:marLeft w:val="0"/>
      <w:marRight w:val="0"/>
      <w:marTop w:val="0"/>
      <w:marBottom w:val="0"/>
      <w:divBdr>
        <w:top w:val="none" w:sz="0" w:space="0" w:color="auto"/>
        <w:left w:val="none" w:sz="0" w:space="0" w:color="auto"/>
        <w:bottom w:val="none" w:sz="0" w:space="0" w:color="auto"/>
        <w:right w:val="none" w:sz="0" w:space="0" w:color="auto"/>
      </w:divBdr>
    </w:div>
    <w:div w:id="1906986139">
      <w:bodyDiv w:val="1"/>
      <w:marLeft w:val="0"/>
      <w:marRight w:val="0"/>
      <w:marTop w:val="0"/>
      <w:marBottom w:val="0"/>
      <w:divBdr>
        <w:top w:val="none" w:sz="0" w:space="0" w:color="auto"/>
        <w:left w:val="none" w:sz="0" w:space="0" w:color="auto"/>
        <w:bottom w:val="none" w:sz="0" w:space="0" w:color="auto"/>
        <w:right w:val="none" w:sz="0" w:space="0" w:color="auto"/>
      </w:divBdr>
    </w:div>
    <w:div w:id="1913348081">
      <w:bodyDiv w:val="1"/>
      <w:marLeft w:val="0"/>
      <w:marRight w:val="0"/>
      <w:marTop w:val="0"/>
      <w:marBottom w:val="0"/>
      <w:divBdr>
        <w:top w:val="none" w:sz="0" w:space="0" w:color="auto"/>
        <w:left w:val="none" w:sz="0" w:space="0" w:color="auto"/>
        <w:bottom w:val="none" w:sz="0" w:space="0" w:color="auto"/>
        <w:right w:val="none" w:sz="0" w:space="0" w:color="auto"/>
      </w:divBdr>
    </w:div>
    <w:div w:id="1916353316">
      <w:bodyDiv w:val="1"/>
      <w:marLeft w:val="0"/>
      <w:marRight w:val="0"/>
      <w:marTop w:val="0"/>
      <w:marBottom w:val="0"/>
      <w:divBdr>
        <w:top w:val="none" w:sz="0" w:space="0" w:color="auto"/>
        <w:left w:val="none" w:sz="0" w:space="0" w:color="auto"/>
        <w:bottom w:val="none" w:sz="0" w:space="0" w:color="auto"/>
        <w:right w:val="none" w:sz="0" w:space="0" w:color="auto"/>
      </w:divBdr>
    </w:div>
    <w:div w:id="1937126427">
      <w:bodyDiv w:val="1"/>
      <w:marLeft w:val="0"/>
      <w:marRight w:val="0"/>
      <w:marTop w:val="0"/>
      <w:marBottom w:val="0"/>
      <w:divBdr>
        <w:top w:val="none" w:sz="0" w:space="0" w:color="auto"/>
        <w:left w:val="none" w:sz="0" w:space="0" w:color="auto"/>
        <w:bottom w:val="none" w:sz="0" w:space="0" w:color="auto"/>
        <w:right w:val="none" w:sz="0" w:space="0" w:color="auto"/>
      </w:divBdr>
    </w:div>
    <w:div w:id="1937900715">
      <w:bodyDiv w:val="1"/>
      <w:marLeft w:val="0"/>
      <w:marRight w:val="0"/>
      <w:marTop w:val="0"/>
      <w:marBottom w:val="0"/>
      <w:divBdr>
        <w:top w:val="none" w:sz="0" w:space="0" w:color="auto"/>
        <w:left w:val="none" w:sz="0" w:space="0" w:color="auto"/>
        <w:bottom w:val="none" w:sz="0" w:space="0" w:color="auto"/>
        <w:right w:val="none" w:sz="0" w:space="0" w:color="auto"/>
      </w:divBdr>
    </w:div>
    <w:div w:id="1980649143">
      <w:bodyDiv w:val="1"/>
      <w:marLeft w:val="0"/>
      <w:marRight w:val="0"/>
      <w:marTop w:val="0"/>
      <w:marBottom w:val="0"/>
      <w:divBdr>
        <w:top w:val="none" w:sz="0" w:space="0" w:color="auto"/>
        <w:left w:val="none" w:sz="0" w:space="0" w:color="auto"/>
        <w:bottom w:val="none" w:sz="0" w:space="0" w:color="auto"/>
        <w:right w:val="none" w:sz="0" w:space="0" w:color="auto"/>
      </w:divBdr>
    </w:div>
    <w:div w:id="1983342385">
      <w:bodyDiv w:val="1"/>
      <w:marLeft w:val="0"/>
      <w:marRight w:val="0"/>
      <w:marTop w:val="0"/>
      <w:marBottom w:val="0"/>
      <w:divBdr>
        <w:top w:val="none" w:sz="0" w:space="0" w:color="auto"/>
        <w:left w:val="none" w:sz="0" w:space="0" w:color="auto"/>
        <w:bottom w:val="none" w:sz="0" w:space="0" w:color="auto"/>
        <w:right w:val="none" w:sz="0" w:space="0" w:color="auto"/>
      </w:divBdr>
    </w:div>
    <w:div w:id="1986620965">
      <w:bodyDiv w:val="1"/>
      <w:marLeft w:val="0"/>
      <w:marRight w:val="0"/>
      <w:marTop w:val="0"/>
      <w:marBottom w:val="0"/>
      <w:divBdr>
        <w:top w:val="none" w:sz="0" w:space="0" w:color="auto"/>
        <w:left w:val="none" w:sz="0" w:space="0" w:color="auto"/>
        <w:bottom w:val="none" w:sz="0" w:space="0" w:color="auto"/>
        <w:right w:val="none" w:sz="0" w:space="0" w:color="auto"/>
      </w:divBdr>
    </w:div>
    <w:div w:id="1996912606">
      <w:bodyDiv w:val="1"/>
      <w:marLeft w:val="0"/>
      <w:marRight w:val="0"/>
      <w:marTop w:val="0"/>
      <w:marBottom w:val="0"/>
      <w:divBdr>
        <w:top w:val="none" w:sz="0" w:space="0" w:color="auto"/>
        <w:left w:val="none" w:sz="0" w:space="0" w:color="auto"/>
        <w:bottom w:val="none" w:sz="0" w:space="0" w:color="auto"/>
        <w:right w:val="none" w:sz="0" w:space="0" w:color="auto"/>
      </w:divBdr>
    </w:div>
    <w:div w:id="1998609920">
      <w:bodyDiv w:val="1"/>
      <w:marLeft w:val="0"/>
      <w:marRight w:val="0"/>
      <w:marTop w:val="0"/>
      <w:marBottom w:val="0"/>
      <w:divBdr>
        <w:top w:val="none" w:sz="0" w:space="0" w:color="auto"/>
        <w:left w:val="none" w:sz="0" w:space="0" w:color="auto"/>
        <w:bottom w:val="none" w:sz="0" w:space="0" w:color="auto"/>
        <w:right w:val="none" w:sz="0" w:space="0" w:color="auto"/>
      </w:divBdr>
    </w:div>
    <w:div w:id="2002734916">
      <w:bodyDiv w:val="1"/>
      <w:marLeft w:val="0"/>
      <w:marRight w:val="0"/>
      <w:marTop w:val="0"/>
      <w:marBottom w:val="0"/>
      <w:divBdr>
        <w:top w:val="none" w:sz="0" w:space="0" w:color="auto"/>
        <w:left w:val="none" w:sz="0" w:space="0" w:color="auto"/>
        <w:bottom w:val="none" w:sz="0" w:space="0" w:color="auto"/>
        <w:right w:val="none" w:sz="0" w:space="0" w:color="auto"/>
      </w:divBdr>
    </w:div>
    <w:div w:id="2003460267">
      <w:bodyDiv w:val="1"/>
      <w:marLeft w:val="0"/>
      <w:marRight w:val="0"/>
      <w:marTop w:val="0"/>
      <w:marBottom w:val="0"/>
      <w:divBdr>
        <w:top w:val="none" w:sz="0" w:space="0" w:color="auto"/>
        <w:left w:val="none" w:sz="0" w:space="0" w:color="auto"/>
        <w:bottom w:val="none" w:sz="0" w:space="0" w:color="auto"/>
        <w:right w:val="none" w:sz="0" w:space="0" w:color="auto"/>
      </w:divBdr>
    </w:div>
    <w:div w:id="2010477545">
      <w:bodyDiv w:val="1"/>
      <w:marLeft w:val="0"/>
      <w:marRight w:val="0"/>
      <w:marTop w:val="0"/>
      <w:marBottom w:val="0"/>
      <w:divBdr>
        <w:top w:val="none" w:sz="0" w:space="0" w:color="auto"/>
        <w:left w:val="none" w:sz="0" w:space="0" w:color="auto"/>
        <w:bottom w:val="none" w:sz="0" w:space="0" w:color="auto"/>
        <w:right w:val="none" w:sz="0" w:space="0" w:color="auto"/>
      </w:divBdr>
    </w:div>
    <w:div w:id="2028940667">
      <w:bodyDiv w:val="1"/>
      <w:marLeft w:val="0"/>
      <w:marRight w:val="0"/>
      <w:marTop w:val="0"/>
      <w:marBottom w:val="0"/>
      <w:divBdr>
        <w:top w:val="none" w:sz="0" w:space="0" w:color="auto"/>
        <w:left w:val="none" w:sz="0" w:space="0" w:color="auto"/>
        <w:bottom w:val="none" w:sz="0" w:space="0" w:color="auto"/>
        <w:right w:val="none" w:sz="0" w:space="0" w:color="auto"/>
      </w:divBdr>
    </w:div>
    <w:div w:id="2041084710">
      <w:bodyDiv w:val="1"/>
      <w:marLeft w:val="0"/>
      <w:marRight w:val="0"/>
      <w:marTop w:val="0"/>
      <w:marBottom w:val="0"/>
      <w:divBdr>
        <w:top w:val="none" w:sz="0" w:space="0" w:color="auto"/>
        <w:left w:val="none" w:sz="0" w:space="0" w:color="auto"/>
        <w:bottom w:val="none" w:sz="0" w:space="0" w:color="auto"/>
        <w:right w:val="none" w:sz="0" w:space="0" w:color="auto"/>
      </w:divBdr>
    </w:div>
    <w:div w:id="2043701800">
      <w:bodyDiv w:val="1"/>
      <w:marLeft w:val="0"/>
      <w:marRight w:val="0"/>
      <w:marTop w:val="0"/>
      <w:marBottom w:val="0"/>
      <w:divBdr>
        <w:top w:val="none" w:sz="0" w:space="0" w:color="auto"/>
        <w:left w:val="none" w:sz="0" w:space="0" w:color="auto"/>
        <w:bottom w:val="none" w:sz="0" w:space="0" w:color="auto"/>
        <w:right w:val="none" w:sz="0" w:space="0" w:color="auto"/>
      </w:divBdr>
    </w:div>
    <w:div w:id="2073500111">
      <w:bodyDiv w:val="1"/>
      <w:marLeft w:val="0"/>
      <w:marRight w:val="0"/>
      <w:marTop w:val="0"/>
      <w:marBottom w:val="0"/>
      <w:divBdr>
        <w:top w:val="none" w:sz="0" w:space="0" w:color="auto"/>
        <w:left w:val="none" w:sz="0" w:space="0" w:color="auto"/>
        <w:bottom w:val="none" w:sz="0" w:space="0" w:color="auto"/>
        <w:right w:val="none" w:sz="0" w:space="0" w:color="auto"/>
      </w:divBdr>
    </w:div>
    <w:div w:id="2096704228">
      <w:bodyDiv w:val="1"/>
      <w:marLeft w:val="0"/>
      <w:marRight w:val="0"/>
      <w:marTop w:val="0"/>
      <w:marBottom w:val="0"/>
      <w:divBdr>
        <w:top w:val="none" w:sz="0" w:space="0" w:color="auto"/>
        <w:left w:val="none" w:sz="0" w:space="0" w:color="auto"/>
        <w:bottom w:val="none" w:sz="0" w:space="0" w:color="auto"/>
        <w:right w:val="none" w:sz="0" w:space="0" w:color="auto"/>
      </w:divBdr>
    </w:div>
    <w:div w:id="2097284935">
      <w:bodyDiv w:val="1"/>
      <w:marLeft w:val="0"/>
      <w:marRight w:val="0"/>
      <w:marTop w:val="0"/>
      <w:marBottom w:val="0"/>
      <w:divBdr>
        <w:top w:val="none" w:sz="0" w:space="0" w:color="auto"/>
        <w:left w:val="none" w:sz="0" w:space="0" w:color="auto"/>
        <w:bottom w:val="none" w:sz="0" w:space="0" w:color="auto"/>
        <w:right w:val="none" w:sz="0" w:space="0" w:color="auto"/>
      </w:divBdr>
    </w:div>
    <w:div w:id="2101754453">
      <w:bodyDiv w:val="1"/>
      <w:marLeft w:val="0"/>
      <w:marRight w:val="0"/>
      <w:marTop w:val="0"/>
      <w:marBottom w:val="0"/>
      <w:divBdr>
        <w:top w:val="none" w:sz="0" w:space="0" w:color="auto"/>
        <w:left w:val="none" w:sz="0" w:space="0" w:color="auto"/>
        <w:bottom w:val="none" w:sz="0" w:space="0" w:color="auto"/>
        <w:right w:val="none" w:sz="0" w:space="0" w:color="auto"/>
      </w:divBdr>
    </w:div>
    <w:div w:id="2106655445">
      <w:bodyDiv w:val="1"/>
      <w:marLeft w:val="0"/>
      <w:marRight w:val="0"/>
      <w:marTop w:val="0"/>
      <w:marBottom w:val="0"/>
      <w:divBdr>
        <w:top w:val="none" w:sz="0" w:space="0" w:color="auto"/>
        <w:left w:val="none" w:sz="0" w:space="0" w:color="auto"/>
        <w:bottom w:val="none" w:sz="0" w:space="0" w:color="auto"/>
        <w:right w:val="none" w:sz="0" w:space="0" w:color="auto"/>
      </w:divBdr>
    </w:div>
    <w:div w:id="2107656021">
      <w:bodyDiv w:val="1"/>
      <w:marLeft w:val="0"/>
      <w:marRight w:val="0"/>
      <w:marTop w:val="0"/>
      <w:marBottom w:val="0"/>
      <w:divBdr>
        <w:top w:val="none" w:sz="0" w:space="0" w:color="auto"/>
        <w:left w:val="none" w:sz="0" w:space="0" w:color="auto"/>
        <w:bottom w:val="none" w:sz="0" w:space="0" w:color="auto"/>
        <w:right w:val="none" w:sz="0" w:space="0" w:color="auto"/>
      </w:divBdr>
    </w:div>
    <w:div w:id="211243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2-03T20:40:25.547"/>
    </inkml:context>
    <inkml:brush xml:id="br0">
      <inkml:brushProperty name="width" value="0.035" units="cm"/>
      <inkml:brushProperty name="height" value="0.035" units="cm"/>
      <inkml:brushProperty name="ignorePressure" value="1"/>
    </inkml:brush>
  </inkml:definitions>
  <inkml:trace contextRef="#ctx0" brushRef="#br0">0 0,'0'0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9DABD1-E5D7-214C-8130-D6FF90D5E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5756</Words>
  <Characters>31430</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sed</Company>
  <LinksUpToDate>false</LinksUpToDate>
  <CharactersWithSpaces>37112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JULIAN BERDUGO</dc:creator>
  <cp:keywords/>
  <dc:description/>
  <cp:lastModifiedBy>LUIS HERNANDO CIFUENTES JIMENEZ</cp:lastModifiedBy>
  <cp:revision>2</cp:revision>
  <cp:lastPrinted>2020-01-23T14:31:00Z</cp:lastPrinted>
  <dcterms:created xsi:type="dcterms:W3CDTF">2025-02-04T19:14:00Z</dcterms:created>
  <dcterms:modified xsi:type="dcterms:W3CDTF">2025-02-04T19:14:00Z</dcterms:modified>
</cp:coreProperties>
</file>