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1575" w:rsidR="00EC0024" w:rsidRDefault="00AC1575" w14:paraId="7277B108" w14:textId="5FE1212D">
      <w:pPr>
        <w:rPr>
          <w:b/>
          <w:bCs/>
        </w:rPr>
      </w:pPr>
      <w:r w:rsidRPr="00AC1575">
        <w:rPr>
          <w:b/>
          <w:bCs/>
        </w:rPr>
        <w:t xml:space="preserve">Descripción de la operación estadística </w:t>
      </w:r>
    </w:p>
    <w:p w:rsidRPr="00CF3DCB" w:rsidR="00AC1575" w:rsidRDefault="00AC1575" w14:paraId="5AC2543E" w14:textId="62078E49">
      <w:pPr>
        <w:rPr>
          <w:b/>
          <w:bCs/>
        </w:rPr>
      </w:pPr>
      <w:r w:rsidRPr="00CF3DCB">
        <w:rPr>
          <w:b/>
          <w:bCs/>
        </w:rPr>
        <w:t>Identificación</w:t>
      </w:r>
    </w:p>
    <w:p w:rsidRPr="00B6309F" w:rsidR="00AC1575" w:rsidRDefault="00087053" w14:paraId="7A1D6878" w14:textId="49F530B8">
      <w:pPr>
        <w:rPr>
          <w:i/>
          <w:iCs/>
        </w:rPr>
      </w:pPr>
      <w:r w:rsidRPr="00B6309F">
        <w:rPr>
          <w:i/>
          <w:iCs/>
        </w:rPr>
        <w:t>INSTRUMENTO PARA EL REGISTRO, IDENTIFICACIÓN Y FORTALECIMIENTO DEL RELACIONAMIENTO CON EL SECTOR EDUCATIVO PRIVADO</w:t>
      </w:r>
    </w:p>
    <w:p w:rsidRPr="00CF3DCB" w:rsidR="00087053" w:rsidRDefault="00CF3DCB" w14:paraId="5F74CFDF" w14:textId="0E61F03F">
      <w:pPr>
        <w:rPr>
          <w:b/>
          <w:bCs/>
        </w:rPr>
      </w:pPr>
      <w:r w:rsidRPr="00CF3DCB">
        <w:rPr>
          <w:b/>
          <w:bCs/>
        </w:rPr>
        <w:t xml:space="preserve">País </w:t>
      </w:r>
      <w:r w:rsidR="003C1B34">
        <w:rPr>
          <w:b/>
          <w:bCs/>
        </w:rPr>
        <w:t>- Ciudad</w:t>
      </w:r>
    </w:p>
    <w:p w:rsidR="00CF3DCB" w:rsidRDefault="00CF3DCB" w14:paraId="605B273B" w14:textId="3F20E4BB">
      <w:r>
        <w:t>Colombia – Bogotá</w:t>
      </w:r>
    </w:p>
    <w:p w:rsidRPr="00F0341F" w:rsidR="00CF3DCB" w:rsidRDefault="00F0341F" w14:paraId="3F508F87" w14:textId="496F28FE">
      <w:pPr>
        <w:rPr>
          <w:b/>
          <w:bCs/>
        </w:rPr>
      </w:pPr>
      <w:r w:rsidRPr="00F0341F">
        <w:rPr>
          <w:b/>
          <w:bCs/>
        </w:rPr>
        <w:t>Tipo de Datos</w:t>
      </w:r>
    </w:p>
    <w:p w:rsidR="00F0341F" w:rsidRDefault="00F0341F" w14:paraId="1BA4B983" w14:textId="0C37F6C0">
      <w:r>
        <w:t>Censo</w:t>
      </w:r>
    </w:p>
    <w:p w:rsidR="00F0341F" w:rsidRDefault="00F0341F" w14:paraId="11D332F4" w14:textId="00D1300B">
      <w:pPr>
        <w:rPr>
          <w:b/>
          <w:bCs/>
        </w:rPr>
      </w:pPr>
      <w:r w:rsidRPr="00F0341F">
        <w:rPr>
          <w:b/>
          <w:bCs/>
        </w:rPr>
        <w:t>Unidad de Análisis</w:t>
      </w:r>
    </w:p>
    <w:p w:rsidR="00F0341F" w:rsidRDefault="003D162E" w14:paraId="728537CB" w14:textId="1F9D675F">
      <w:r w:rsidRPr="325A9C9E" w:rsidR="670437EC">
        <w:rPr>
          <w:b w:val="1"/>
          <w:bCs w:val="1"/>
        </w:rPr>
        <w:t xml:space="preserve">Unidad de observación: </w:t>
      </w:r>
      <w:r w:rsidR="670437EC">
        <w:rPr/>
        <w:t xml:space="preserve">corresponde a los colegios, jardines </w:t>
      </w:r>
      <w:r w:rsidR="0FA83304">
        <w:rPr/>
        <w:t>de</w:t>
      </w:r>
      <w:r w:rsidR="670437EC">
        <w:rPr/>
        <w:t>l sector privado en Bogotá</w:t>
      </w:r>
      <w:r w:rsidR="670437EC">
        <w:rPr/>
        <w:t>.</w:t>
      </w:r>
    </w:p>
    <w:p w:rsidR="003D162E" w:rsidP="73A1E965" w:rsidRDefault="003D162E" w14:paraId="513D6F83" w14:textId="30BFD166">
      <w:pPr>
        <w:pStyle w:val="Normal"/>
      </w:pPr>
      <w:r w:rsidRPr="325A9C9E" w:rsidR="003D162E">
        <w:rPr>
          <w:b w:val="1"/>
          <w:bCs w:val="1"/>
        </w:rPr>
        <w:t>Unidad de análisis:</w:t>
      </w:r>
      <w:r w:rsidR="003D162E">
        <w:rPr/>
        <w:t xml:space="preserve"> corresponde a los colegios, jardines </w:t>
      </w:r>
      <w:r w:rsidR="5642F182">
        <w:rPr/>
        <w:t>del sector privado en Bogotá</w:t>
      </w:r>
      <w:r w:rsidR="003D162E">
        <w:rPr/>
        <w:t>.</w:t>
      </w:r>
    </w:p>
    <w:p w:rsidRPr="003D162E" w:rsidR="003D162E" w:rsidP="003D162E" w:rsidRDefault="003D162E" w14:paraId="421D6EE7" w14:textId="544656CF">
      <w:pPr>
        <w:rPr>
          <w:b/>
          <w:bCs/>
        </w:rPr>
      </w:pPr>
      <w:r w:rsidRPr="003D162E">
        <w:rPr>
          <w:b/>
          <w:bCs/>
        </w:rPr>
        <w:t>Alcance</w:t>
      </w:r>
    </w:p>
    <w:p w:rsidR="0004074B" w:rsidP="0004074B" w:rsidRDefault="0004074B" w14:paraId="53065846" w14:textId="77777777">
      <w:pPr>
        <w:jc w:val="both"/>
      </w:pPr>
      <w:r>
        <w:t xml:space="preserve">El Plan Distrital de Desarrollo “Bogotá Camina Segura 2024-2027” en su apuesta estratégica establecida en el Plan de Mejoramiento de la Calidad Educativa “Una educación que te responde” establece como parte de sus metas la atención integral desde la primera infancia hasta la educación superior, bajo la premisa que potencia la calidad de vida los niñas, niñas y jóvenes del Distrito. </w:t>
      </w:r>
    </w:p>
    <w:p w:rsidR="0004074B" w:rsidP="0004074B" w:rsidRDefault="0004074B" w14:paraId="781E5554" w14:textId="77777777">
      <w:pPr>
        <w:jc w:val="both"/>
      </w:pPr>
      <w:r>
        <w:t xml:space="preserve">Desde múltiples acciones, la política educativa distrital ha enfocado sus esfuerzos en el cierre de brechas y en el logro de trayectorias educativas completas, con entornos que sean seguros y confiables. El sector educativo oficial, naturalmente, por la funcionalidad del sistema, es el eje de la política educativa que busca una mejora de los contextos en el que diversos actores comprenden que la Administración Distrital es un garante de la educación pública que brinda oportunidades de cara al fortalecimiento de las capacidades de la ciudad y sus habitantes. </w:t>
      </w:r>
    </w:p>
    <w:p w:rsidR="0004074B" w:rsidP="0004074B" w:rsidRDefault="0004074B" w14:paraId="196B1A4A" w14:textId="77777777">
      <w:pPr>
        <w:jc w:val="both"/>
      </w:pPr>
      <w:r>
        <w:t xml:space="preserve">Sumado a lo anterior, la hoja de ruta ¡Una educación que te responde! busca garantizar cada uno de los elementos del desarrollo del potencial educativo en las instituciones públicas y focalizar parte de sus esfuerzos y dinámicas para consolidar un ambiente de cercanía y confianza con el sector educativo privado. </w:t>
      </w:r>
    </w:p>
    <w:p w:rsidR="0004074B" w:rsidP="0004074B" w:rsidRDefault="0004074B" w14:paraId="1047E7F6" w14:textId="26826326">
      <w:pPr>
        <w:jc w:val="both"/>
      </w:pPr>
      <w:r w:rsidR="0004074B">
        <w:rPr/>
        <w:t xml:space="preserve">Como parte de los parámetros de gestión de la Secretaría de Educación del Distrito, se encuentra que los niños, niñas y jóvenes de las instituciones educativas privadas, así como los docentes y la comunidad ocupan una porción relevante de cada uno de los contextos distritales. </w:t>
      </w:r>
    </w:p>
    <w:p w:rsidRPr="0004074B" w:rsidR="0004074B" w:rsidP="325A9C9E" w:rsidRDefault="0004074B" w14:paraId="319A75C6" w14:textId="336D204B">
      <w:pPr>
        <w:pStyle w:val="Normal"/>
        <w:suppressLineNumbers w:val="0"/>
        <w:bidi w:val="0"/>
        <w:spacing w:before="0" w:beforeAutospacing="off" w:after="160" w:afterAutospacing="off" w:line="259" w:lineRule="auto"/>
        <w:ind w:left="0" w:right="0"/>
        <w:jc w:val="both"/>
        <w:rPr>
          <w:b w:val="1"/>
          <w:bCs w:val="1"/>
        </w:rPr>
      </w:pPr>
      <w:r w:rsidRPr="325A9C9E" w:rsidR="0AF08F0D">
        <w:rPr>
          <w:b w:val="1"/>
          <w:bCs w:val="1"/>
        </w:rPr>
        <w:t xml:space="preserve">De esta manera surge </w:t>
      </w:r>
      <w:r w:rsidRPr="325A9C9E" w:rsidR="0004074B">
        <w:rPr>
          <w:b w:val="1"/>
          <w:bCs w:val="1"/>
        </w:rPr>
        <w:t xml:space="preserve">la necesidad de fortalecer </w:t>
      </w:r>
      <w:r w:rsidRPr="325A9C9E" w:rsidR="5F809DA4">
        <w:rPr>
          <w:b w:val="1"/>
          <w:bCs w:val="1"/>
        </w:rPr>
        <w:t>la</w:t>
      </w:r>
      <w:r w:rsidRPr="325A9C9E" w:rsidR="0004074B">
        <w:rPr>
          <w:b w:val="1"/>
          <w:bCs w:val="1"/>
        </w:rPr>
        <w:t xml:space="preserve"> identificación y acompañamiento del sector educativo privado</w:t>
      </w:r>
      <w:r w:rsidRPr="325A9C9E" w:rsidR="1A861E51">
        <w:rPr>
          <w:b w:val="1"/>
          <w:bCs w:val="1"/>
        </w:rPr>
        <w:t xml:space="preserve"> a través de </w:t>
      </w:r>
      <w:r w:rsidRPr="325A9C9E" w:rsidR="0004074B">
        <w:rPr>
          <w:b w:val="1"/>
          <w:bCs w:val="1"/>
        </w:rPr>
        <w:t>una estrategia permanente de mape</w:t>
      </w:r>
      <w:r w:rsidRPr="325A9C9E" w:rsidR="35CAB567">
        <w:rPr>
          <w:b w:val="1"/>
          <w:bCs w:val="1"/>
        </w:rPr>
        <w:t>o</w:t>
      </w:r>
      <w:r w:rsidRPr="325A9C9E" w:rsidR="0004074B">
        <w:rPr>
          <w:b w:val="1"/>
          <w:bCs w:val="1"/>
        </w:rPr>
        <w:t xml:space="preserve"> de diferentes variables de análisis de la realidad </w:t>
      </w:r>
      <w:r w:rsidRPr="325A9C9E" w:rsidR="0004074B">
        <w:rPr>
          <w:b w:val="1"/>
          <w:bCs w:val="1"/>
        </w:rPr>
        <w:t xml:space="preserve">de las instituciones que permita acompañamientos técnicos, operativos y pedagógicos pertinentes frente a los desafíos que atraviesa el sector. </w:t>
      </w:r>
    </w:p>
    <w:p w:rsidR="003D162E" w:rsidP="0004074B" w:rsidRDefault="0004074B" w14:paraId="4267DC6E" w14:textId="55632D27">
      <w:pPr>
        <w:jc w:val="both"/>
      </w:pPr>
      <w:r>
        <w:t>Partiendo de las acciones de identificación, se consolida el reconocimiento desde la valoración del sector y sus características a través de un proceso censal que involucra diferentes categorías para reconocer y generar cercanía como una premisa de un sector dinámico y para promover relaciones estructuradas desde la cooperación que logre buscar e impactar y fortalecer la calidad educativa, desde fuentes de reconocimiento actualizadas.</w:t>
      </w:r>
    </w:p>
    <w:p w:rsidRPr="00FB5F14" w:rsidR="003D162E" w:rsidP="0004074B" w:rsidRDefault="00FB5F14" w14:paraId="5C8DCA92" w14:textId="32EDF42E">
      <w:pPr>
        <w:jc w:val="both"/>
        <w:rPr>
          <w:b/>
          <w:bCs/>
        </w:rPr>
      </w:pPr>
      <w:r w:rsidRPr="00FB5F14">
        <w:rPr>
          <w:b/>
          <w:bCs/>
        </w:rPr>
        <w:t>Clasificación de temas</w:t>
      </w:r>
    </w:p>
    <w:p w:rsidR="00FB5F14" w:rsidP="00D512F7" w:rsidRDefault="00A40F0F" w14:paraId="147AB868" w14:textId="39806B69">
      <w:pPr>
        <w:pStyle w:val="Prrafodelista"/>
        <w:numPr>
          <w:ilvl w:val="0"/>
          <w:numId w:val="2"/>
        </w:numPr>
        <w:jc w:val="both"/>
      </w:pPr>
      <w:r>
        <w:t>Información general de la institución educativa</w:t>
      </w:r>
    </w:p>
    <w:p w:rsidR="00A40F0F" w:rsidP="00D512F7" w:rsidRDefault="00A40F0F" w14:paraId="79F096F6" w14:textId="2CF0A1CD">
      <w:pPr>
        <w:pStyle w:val="Prrafodelista"/>
        <w:numPr>
          <w:ilvl w:val="0"/>
          <w:numId w:val="2"/>
        </w:numPr>
        <w:jc w:val="both"/>
      </w:pPr>
      <w:r>
        <w:t>Perfil de la comunidad educativa</w:t>
      </w:r>
    </w:p>
    <w:p w:rsidR="00A40F0F" w:rsidP="00D512F7" w:rsidRDefault="00A40F0F" w14:paraId="7DB260C5" w14:textId="0690F946">
      <w:pPr>
        <w:pStyle w:val="Prrafodelista"/>
        <w:numPr>
          <w:ilvl w:val="0"/>
          <w:numId w:val="2"/>
        </w:numPr>
        <w:jc w:val="both"/>
      </w:pPr>
      <w:r>
        <w:t>Infraestructura educativa</w:t>
      </w:r>
    </w:p>
    <w:p w:rsidR="00A40F0F" w:rsidP="00D512F7" w:rsidRDefault="00A40F0F" w14:paraId="5CBA6C0D" w14:textId="7DD50CA4">
      <w:pPr>
        <w:pStyle w:val="Prrafodelista"/>
        <w:numPr>
          <w:ilvl w:val="0"/>
          <w:numId w:val="2"/>
        </w:numPr>
        <w:jc w:val="both"/>
      </w:pPr>
      <w:r>
        <w:t>Primera infancia (colegios privados que prestan el servicio de primaria infancia)</w:t>
      </w:r>
    </w:p>
    <w:p w:rsidR="00A40F0F" w:rsidP="00D512F7" w:rsidRDefault="00D512F7" w14:paraId="54249CE3" w14:textId="4A821984">
      <w:pPr>
        <w:pStyle w:val="Prrafodelista"/>
        <w:numPr>
          <w:ilvl w:val="0"/>
          <w:numId w:val="2"/>
        </w:numPr>
        <w:jc w:val="both"/>
      </w:pPr>
      <w:r>
        <w:t>Multilingüismo</w:t>
      </w:r>
    </w:p>
    <w:p w:rsidR="00D512F7" w:rsidP="00D512F7" w:rsidRDefault="00D512F7" w14:paraId="1B1ACED1" w14:textId="611F8667">
      <w:pPr>
        <w:pStyle w:val="Prrafodelista"/>
        <w:numPr>
          <w:ilvl w:val="0"/>
          <w:numId w:val="2"/>
        </w:numPr>
        <w:jc w:val="both"/>
      </w:pPr>
      <w:r>
        <w:t>Enfoque Integral e Inclusión</w:t>
      </w:r>
    </w:p>
    <w:p w:rsidR="00D512F7" w:rsidP="00D512F7" w:rsidRDefault="00D512F7" w14:paraId="2DC6B844" w14:textId="2F3F4012">
      <w:pPr>
        <w:pStyle w:val="Prrafodelista"/>
        <w:numPr>
          <w:ilvl w:val="0"/>
          <w:numId w:val="2"/>
        </w:numPr>
        <w:jc w:val="both"/>
      </w:pPr>
      <w:r>
        <w:t>Lectura critica</w:t>
      </w:r>
    </w:p>
    <w:p w:rsidR="00D512F7" w:rsidP="00D512F7" w:rsidRDefault="00D512F7" w14:paraId="475EAED6" w14:textId="12A1D084">
      <w:pPr>
        <w:pStyle w:val="Prrafodelista"/>
        <w:numPr>
          <w:ilvl w:val="0"/>
          <w:numId w:val="2"/>
        </w:numPr>
        <w:jc w:val="both"/>
      </w:pPr>
      <w:r>
        <w:t>STEAM</w:t>
      </w:r>
    </w:p>
    <w:p w:rsidR="00D512F7" w:rsidP="00D512F7" w:rsidRDefault="00D512F7" w14:paraId="12C4EA3C" w14:textId="20C0AA21">
      <w:pPr>
        <w:pStyle w:val="Prrafodelista"/>
        <w:numPr>
          <w:ilvl w:val="0"/>
          <w:numId w:val="2"/>
        </w:numPr>
        <w:jc w:val="both"/>
      </w:pPr>
      <w:r>
        <w:t>Proyecto de vida</w:t>
      </w:r>
    </w:p>
    <w:p w:rsidR="00AB0D4F" w:rsidP="00AB0D4F" w:rsidRDefault="00AB0D4F" w14:paraId="1A4B824A" w14:textId="0E07322A">
      <w:pPr>
        <w:jc w:val="both"/>
      </w:pPr>
      <w:r>
        <w:t xml:space="preserve">En el instrumento de jardines los temas se clasificaron en 8 </w:t>
      </w:r>
      <w:r w:rsidR="00721EC2">
        <w:t>categorías</w:t>
      </w:r>
    </w:p>
    <w:p w:rsidR="00AB0D4F" w:rsidP="00AB0D4F" w:rsidRDefault="00AB0D4F" w14:paraId="6497409C" w14:textId="77777777">
      <w:pPr>
        <w:pStyle w:val="Prrafodelista"/>
        <w:numPr>
          <w:ilvl w:val="0"/>
          <w:numId w:val="7"/>
        </w:numPr>
        <w:jc w:val="both"/>
      </w:pPr>
      <w:r>
        <w:t>Información general de la institución educativa</w:t>
      </w:r>
    </w:p>
    <w:p w:rsidR="00AB0D4F" w:rsidP="00AB0D4F" w:rsidRDefault="00AB0D4F" w14:paraId="1996806F" w14:textId="77777777">
      <w:pPr>
        <w:pStyle w:val="Prrafodelista"/>
        <w:numPr>
          <w:ilvl w:val="0"/>
          <w:numId w:val="7"/>
        </w:numPr>
        <w:jc w:val="both"/>
      </w:pPr>
      <w:r>
        <w:t>Perfil de la comunidad educativa</w:t>
      </w:r>
    </w:p>
    <w:p w:rsidR="00AB0D4F" w:rsidP="00AB0D4F" w:rsidRDefault="00AB0D4F" w14:paraId="3DC9DB0C" w14:textId="77777777">
      <w:pPr>
        <w:pStyle w:val="Prrafodelista"/>
        <w:numPr>
          <w:ilvl w:val="0"/>
          <w:numId w:val="7"/>
        </w:numPr>
        <w:jc w:val="both"/>
      </w:pPr>
      <w:r>
        <w:t>Infraestructura educativa</w:t>
      </w:r>
    </w:p>
    <w:p w:rsidR="00721EC2" w:rsidP="00721EC2" w:rsidRDefault="00721EC2" w14:paraId="037A7093" w14:textId="0B3D693C">
      <w:pPr>
        <w:pStyle w:val="Prrafodelista"/>
        <w:numPr>
          <w:ilvl w:val="0"/>
          <w:numId w:val="7"/>
        </w:numPr>
        <w:jc w:val="both"/>
      </w:pPr>
      <w:r>
        <w:t>Enfoque Integral e Inclusión</w:t>
      </w:r>
    </w:p>
    <w:p w:rsidR="00721EC2" w:rsidP="00721EC2" w:rsidRDefault="00721EC2" w14:paraId="4DFACE41" w14:textId="33D48EB9">
      <w:pPr>
        <w:pStyle w:val="Prrafodelista"/>
        <w:numPr>
          <w:ilvl w:val="0"/>
          <w:numId w:val="7"/>
        </w:numPr>
        <w:jc w:val="both"/>
      </w:pPr>
      <w:r>
        <w:t xml:space="preserve">Proceso Pedagógico </w:t>
      </w:r>
    </w:p>
    <w:p w:rsidRPr="00AB0D4F" w:rsidR="00AB0D4F" w:rsidP="00AB0D4F" w:rsidRDefault="00AB0D4F" w14:paraId="0859B82E" w14:textId="4EBBBC0E">
      <w:pPr>
        <w:pStyle w:val="Prrafodelista"/>
        <w:numPr>
          <w:ilvl w:val="0"/>
          <w:numId w:val="7"/>
        </w:numPr>
        <w:jc w:val="both"/>
      </w:pPr>
      <w:r w:rsidRPr="00AB0D4F">
        <w:rPr>
          <w:rFonts w:ascii="Arial Narrow" w:hAnsi="Arial Narrow" w:cstheme="minorHAnsi"/>
        </w:rPr>
        <w:t>Acercamiento a la lengua extranjera</w:t>
      </w:r>
    </w:p>
    <w:p w:rsidRPr="00AB0D4F" w:rsidR="00AB0D4F" w:rsidP="00AB0D4F" w:rsidRDefault="00AB0D4F" w14:paraId="6F3C39E3" w14:textId="66F9F9A8">
      <w:pPr>
        <w:pStyle w:val="Prrafodelista"/>
        <w:numPr>
          <w:ilvl w:val="0"/>
          <w:numId w:val="7"/>
        </w:numPr>
        <w:jc w:val="both"/>
      </w:pPr>
      <w:r w:rsidRPr="00AB0D4F">
        <w:rPr>
          <w:rFonts w:ascii="Arial Narrow" w:hAnsi="Arial Narrow" w:cstheme="minorHAnsi"/>
        </w:rPr>
        <w:t>Exploración de la lectura, escritura y oralidad</w:t>
      </w:r>
    </w:p>
    <w:p w:rsidR="00AB0D4F" w:rsidP="00AB0D4F" w:rsidRDefault="00AB0D4F" w14:paraId="0A54B480" w14:textId="431F3705">
      <w:pPr>
        <w:pStyle w:val="Prrafodelista"/>
        <w:numPr>
          <w:ilvl w:val="0"/>
          <w:numId w:val="7"/>
        </w:numPr>
        <w:jc w:val="both"/>
      </w:pPr>
      <w:r>
        <w:t>STEAM</w:t>
      </w:r>
    </w:p>
    <w:p w:rsidRPr="00312B3F" w:rsidR="00D512F7" w:rsidP="0004074B" w:rsidRDefault="00312B3F" w14:paraId="4413B246" w14:textId="383AD083">
      <w:pPr>
        <w:jc w:val="both"/>
        <w:rPr>
          <w:b/>
          <w:bCs/>
        </w:rPr>
      </w:pPr>
      <w:r w:rsidRPr="00312B3F">
        <w:rPr>
          <w:b/>
          <w:bCs/>
        </w:rPr>
        <w:t>Cobertura</w:t>
      </w:r>
    </w:p>
    <w:p w:rsidR="00312B3F" w:rsidP="0004074B" w:rsidRDefault="00312B3F" w14:paraId="06E6EF4C" w14:textId="01E2EEDF">
      <w:pPr>
        <w:jc w:val="both"/>
      </w:pPr>
      <w:r w:rsidR="00312B3F">
        <w:rPr/>
        <w:t xml:space="preserve">El </w:t>
      </w:r>
      <w:r w:rsidR="00312B3F">
        <w:rPr/>
        <w:t>instrumento para el registro, identificación y fortalecimiento del relacionamiento con el sector educativo privado</w:t>
      </w:r>
      <w:r w:rsidR="00312B3F">
        <w:rPr/>
        <w:t xml:space="preserve"> tiene cobertura a 19 localidades del distrito</w:t>
      </w:r>
      <w:r w:rsidR="66E7C3DC">
        <w:rPr/>
        <w:t>.</w:t>
      </w:r>
      <w:r w:rsidR="00312B3F">
        <w:rPr/>
        <w:t xml:space="preserve"> La localidad rural es Sumapaz</w:t>
      </w:r>
      <w:r w:rsidR="00312B3F">
        <w:rPr/>
        <w:t xml:space="preserve"> se omite, porque en ella no se cuenta con la presencia de colegios privados actualmente.</w:t>
      </w:r>
    </w:p>
    <w:p w:rsidRPr="00E22CAA" w:rsidR="00312B3F" w:rsidP="0004074B" w:rsidRDefault="00E22CAA" w14:paraId="1DDD545C" w14:textId="1D4160B3">
      <w:pPr>
        <w:jc w:val="both"/>
        <w:rPr>
          <w:b/>
          <w:bCs/>
        </w:rPr>
      </w:pPr>
      <w:r w:rsidRPr="00E22CAA">
        <w:rPr>
          <w:b/>
          <w:bCs/>
        </w:rPr>
        <w:t>Productores</w:t>
      </w:r>
    </w:p>
    <w:p w:rsidR="00E22CAA" w:rsidP="00E22CAA" w:rsidRDefault="00E22CAA" w14:paraId="0B2530F9" w14:textId="2205F4B6">
      <w:pPr>
        <w:jc w:val="both"/>
      </w:pPr>
      <w:r>
        <w:t xml:space="preserve">Secretaría de </w:t>
      </w:r>
      <w:r w:rsidR="005421EE">
        <w:t>E</w:t>
      </w:r>
      <w:r>
        <w:t xml:space="preserve">ducación del </w:t>
      </w:r>
      <w:r w:rsidR="005421EE">
        <w:t>D</w:t>
      </w:r>
      <w:r>
        <w:t>istrito, Subsecretaría de Integración Interinstitucional,</w:t>
      </w:r>
      <w:r w:rsidRPr="00E22CAA">
        <w:t xml:space="preserve"> </w:t>
      </w:r>
      <w:r>
        <w:t>Dirección de Relaciones con el Sector Educativo Privado.</w:t>
      </w:r>
    </w:p>
    <w:p w:rsidR="00E22CAA" w:rsidP="00E22CAA" w:rsidRDefault="00465CB4" w14:paraId="74EEC5D7" w14:textId="0563A1D1">
      <w:pPr>
        <w:jc w:val="both"/>
        <w:rPr>
          <w:b/>
          <w:bCs/>
        </w:rPr>
      </w:pPr>
      <w:r w:rsidRPr="00465CB4">
        <w:rPr>
          <w:b/>
          <w:bCs/>
        </w:rPr>
        <w:t>Instrumento de recolección</w:t>
      </w:r>
    </w:p>
    <w:p w:rsidRPr="00465CB4" w:rsidR="00465CB4" w:rsidP="00E22CAA" w:rsidRDefault="00465CB4" w14:paraId="65F18E66" w14:textId="78237A37">
      <w:pPr>
        <w:jc w:val="both"/>
        <w:rPr>
          <w:b/>
          <w:bCs/>
        </w:rPr>
      </w:pPr>
      <w:r w:rsidRPr="00AB0D4F">
        <w:rPr>
          <w:b/>
          <w:bCs/>
        </w:rPr>
        <w:t>Instrumento para Colegios:</w:t>
      </w:r>
    </w:p>
    <w:p w:rsidR="00465CB4" w:rsidP="00E22CAA" w:rsidRDefault="00465CB4" w14:paraId="6876178A" w14:textId="7DC078B2">
      <w:pPr>
        <w:jc w:val="both"/>
      </w:pPr>
      <w:r>
        <w:lastRenderedPageBreak/>
        <w:t>Cuestionario digital compuesto de 9 temas (categorías), 55 preguntas</w:t>
      </w:r>
    </w:p>
    <w:p w:rsidR="00AB0D4F" w:rsidP="00E22CAA" w:rsidRDefault="00AB0D4F" w14:paraId="5BE34218" w14:textId="28DDF2AA">
      <w:pPr>
        <w:jc w:val="both"/>
        <w:rPr>
          <w:b/>
          <w:bCs/>
        </w:rPr>
      </w:pPr>
      <w:r w:rsidRPr="00AB0D4F">
        <w:rPr>
          <w:b/>
          <w:bCs/>
        </w:rPr>
        <w:t>Instrumento para jardines:</w:t>
      </w:r>
    </w:p>
    <w:p w:rsidRPr="00AB0D4F" w:rsidR="00AB0D4F" w:rsidP="00E22CAA" w:rsidRDefault="00AB0D4F" w14:paraId="65B31D00" w14:textId="6D66EDE0">
      <w:pPr>
        <w:jc w:val="both"/>
      </w:pPr>
      <w:r>
        <w:t>Cuestionario digital compuesto de 8 temas (categorías), 53 preguntas</w:t>
      </w:r>
    </w:p>
    <w:p w:rsidRPr="002548DB" w:rsidR="00E22CAA" w:rsidP="00E22CAA" w:rsidRDefault="002548DB" w14:paraId="7A946463" w14:textId="6118343F">
      <w:pPr>
        <w:jc w:val="both"/>
        <w:rPr>
          <w:b/>
          <w:bCs/>
        </w:rPr>
      </w:pPr>
      <w:r w:rsidRPr="002548DB">
        <w:rPr>
          <w:b/>
          <w:bCs/>
        </w:rPr>
        <w:t>Periodo de inferencia</w:t>
      </w:r>
    </w:p>
    <w:p w:rsidR="002548DB" w:rsidP="00E22CAA" w:rsidRDefault="002548DB" w14:paraId="278B6847" w14:textId="7E206B6F">
      <w:pPr>
        <w:jc w:val="both"/>
      </w:pPr>
      <w:r>
        <w:t>Enero – diciembre 2024.</w:t>
      </w:r>
    </w:p>
    <w:p w:rsidRPr="00D321C7" w:rsidR="002548DB" w:rsidP="00E22CAA" w:rsidRDefault="00D321C7" w14:paraId="14453B8B" w14:textId="6AC02AFC">
      <w:pPr>
        <w:jc w:val="both"/>
        <w:rPr>
          <w:b/>
          <w:bCs/>
        </w:rPr>
      </w:pPr>
      <w:r w:rsidRPr="00D321C7">
        <w:rPr>
          <w:b/>
          <w:bCs/>
        </w:rPr>
        <w:t>Marco Censal</w:t>
      </w:r>
    </w:p>
    <w:p w:rsidR="00D321C7" w:rsidP="00E22CAA" w:rsidRDefault="00D321C7" w14:paraId="06A9BF64" w14:textId="25896B43">
      <w:pPr>
        <w:jc w:val="both"/>
      </w:pPr>
      <w:r>
        <w:t>La identificación de los colegios y jardines del sector privado inicialmente se hace a partir del reporte generado por la base de datos DUE con corte a 30 de junio 2024</w:t>
      </w:r>
      <w:r w:rsidR="00D06C89">
        <w:t>, donde se relacionan las siguientes cantidades de instituciones privadas:</w:t>
      </w:r>
    </w:p>
    <w:p w:rsidR="00D321C7" w:rsidP="00D06C89" w:rsidRDefault="00514139" w14:paraId="6CBC5C31" w14:textId="2A0BBDC7">
      <w:pPr>
        <w:pStyle w:val="Prrafodelista"/>
        <w:numPr>
          <w:ilvl w:val="0"/>
          <w:numId w:val="3"/>
        </w:numPr>
        <w:jc w:val="both"/>
      </w:pPr>
      <w:r>
        <w:t>Total,</w:t>
      </w:r>
      <w:r w:rsidR="00974DDD">
        <w:t xml:space="preserve"> de Colegios:1.224</w:t>
      </w:r>
    </w:p>
    <w:p w:rsidR="00974DDD" w:rsidP="00D06C89" w:rsidRDefault="00514139" w14:paraId="7408974A" w14:textId="2F2085E4">
      <w:pPr>
        <w:pStyle w:val="Prrafodelista"/>
        <w:numPr>
          <w:ilvl w:val="0"/>
          <w:numId w:val="3"/>
        </w:numPr>
        <w:jc w:val="both"/>
      </w:pPr>
      <w:r>
        <w:t>Total,</w:t>
      </w:r>
      <w:r w:rsidR="00974DDD">
        <w:t xml:space="preserve"> jardines:</w:t>
      </w:r>
      <w:r w:rsidR="00C077E9">
        <w:t>271</w:t>
      </w:r>
    </w:p>
    <w:p w:rsidR="00C077E9" w:rsidP="00E22CAA" w:rsidRDefault="00514139" w14:paraId="0607628B" w14:textId="4ED1A0CA">
      <w:pPr>
        <w:jc w:val="both"/>
        <w:rPr>
          <w:b/>
          <w:bCs/>
        </w:rPr>
      </w:pPr>
      <w:r w:rsidRPr="00514139">
        <w:rPr>
          <w:b/>
          <w:bCs/>
        </w:rPr>
        <w:t>Tasa de respuesta o cobertura efectiva</w:t>
      </w:r>
    </w:p>
    <w:p w:rsidRPr="00696C2E" w:rsidR="00696C2E" w:rsidP="00E22CAA" w:rsidRDefault="00696C2E" w14:paraId="5048D68C" w14:textId="39D06F35">
      <w:pPr>
        <w:jc w:val="both"/>
      </w:pPr>
      <w:r w:rsidRPr="00696C2E">
        <w:t>Instituciones censadas a corte de diciembre 30 de 2024</w:t>
      </w:r>
      <w:r>
        <w:t>, que diligenciaron el instrumento:</w:t>
      </w:r>
    </w:p>
    <w:tbl>
      <w:tblPr>
        <w:tblStyle w:val="Tablaconcuadrcula"/>
        <w:tblW w:w="0" w:type="auto"/>
        <w:tblLook w:val="04A0" w:firstRow="1" w:lastRow="0" w:firstColumn="1" w:lastColumn="0" w:noHBand="0" w:noVBand="1"/>
      </w:tblPr>
      <w:tblGrid>
        <w:gridCol w:w="2942"/>
        <w:gridCol w:w="2943"/>
        <w:gridCol w:w="2943"/>
      </w:tblGrid>
      <w:tr w:rsidR="00514139" w:rsidTr="325A9C9E" w14:paraId="2FC06014" w14:textId="77777777">
        <w:tc>
          <w:tcPr>
            <w:tcW w:w="2942" w:type="dxa"/>
            <w:tcMar/>
          </w:tcPr>
          <w:p w:rsidR="00514139" w:rsidP="00514139" w:rsidRDefault="00514139" w14:paraId="13995B5F" w14:textId="7EFA2D2E">
            <w:pPr>
              <w:jc w:val="center"/>
              <w:rPr>
                <w:b/>
                <w:bCs/>
              </w:rPr>
            </w:pPr>
            <w:r>
              <w:rPr>
                <w:b/>
                <w:bCs/>
              </w:rPr>
              <w:t>Total, Instituciones privadas</w:t>
            </w:r>
          </w:p>
        </w:tc>
        <w:tc>
          <w:tcPr>
            <w:tcW w:w="2943" w:type="dxa"/>
            <w:tcMar/>
          </w:tcPr>
          <w:p w:rsidR="00514139" w:rsidP="00514139" w:rsidRDefault="00514139" w14:paraId="7D5311F1" w14:textId="3FBE46D1">
            <w:pPr>
              <w:jc w:val="center"/>
              <w:rPr>
                <w:b/>
                <w:bCs/>
              </w:rPr>
            </w:pPr>
            <w:r>
              <w:rPr>
                <w:b/>
                <w:bCs/>
              </w:rPr>
              <w:t>Total, censadas</w:t>
            </w:r>
          </w:p>
        </w:tc>
        <w:tc>
          <w:tcPr>
            <w:tcW w:w="2943" w:type="dxa"/>
            <w:tcMar/>
          </w:tcPr>
          <w:p w:rsidR="00514139" w:rsidP="00514139" w:rsidRDefault="00514139" w14:paraId="76E44F3A" w14:textId="686F5300">
            <w:pPr>
              <w:jc w:val="center"/>
              <w:rPr>
                <w:b/>
                <w:bCs/>
              </w:rPr>
            </w:pPr>
            <w:r>
              <w:rPr>
                <w:b/>
                <w:bCs/>
              </w:rPr>
              <w:t>Cobertura efectiva</w:t>
            </w:r>
          </w:p>
        </w:tc>
      </w:tr>
      <w:tr w:rsidR="00514139" w:rsidTr="325A9C9E" w14:paraId="509BA063" w14:textId="77777777">
        <w:tc>
          <w:tcPr>
            <w:tcW w:w="2942" w:type="dxa"/>
            <w:tcMar/>
          </w:tcPr>
          <w:p w:rsidR="00514139" w:rsidP="00514139" w:rsidRDefault="00514139" w14:paraId="0232AA6C" w14:textId="10E3C3FB">
            <w:pPr>
              <w:jc w:val="center"/>
              <w:rPr>
                <w:b/>
                <w:bCs/>
              </w:rPr>
            </w:pPr>
            <w:r>
              <w:rPr>
                <w:b/>
                <w:bCs/>
              </w:rPr>
              <w:t>1.224</w:t>
            </w:r>
          </w:p>
        </w:tc>
        <w:tc>
          <w:tcPr>
            <w:tcW w:w="2943" w:type="dxa"/>
            <w:tcMar/>
          </w:tcPr>
          <w:p w:rsidR="00514139" w:rsidP="00514139" w:rsidRDefault="00514139" w14:paraId="6CC0ABD3" w14:textId="230ABDEA">
            <w:pPr>
              <w:jc w:val="center"/>
              <w:rPr>
                <w:b/>
                <w:bCs/>
              </w:rPr>
            </w:pPr>
            <w:r>
              <w:rPr>
                <w:b/>
                <w:bCs/>
              </w:rPr>
              <w:t>1</w:t>
            </w:r>
            <w:r w:rsidR="00E57E1D">
              <w:rPr>
                <w:b/>
                <w:bCs/>
              </w:rPr>
              <w:t>.</w:t>
            </w:r>
            <w:r>
              <w:rPr>
                <w:b/>
                <w:bCs/>
              </w:rPr>
              <w:t>1</w:t>
            </w:r>
            <w:r w:rsidR="00E57E1D">
              <w:rPr>
                <w:b/>
                <w:bCs/>
              </w:rPr>
              <w:t>43</w:t>
            </w:r>
          </w:p>
        </w:tc>
        <w:tc>
          <w:tcPr>
            <w:tcW w:w="2943" w:type="dxa"/>
            <w:tcMar/>
          </w:tcPr>
          <w:p w:rsidR="00514139" w:rsidP="00514139" w:rsidRDefault="00514139" w14:paraId="368CBF82" w14:textId="1ADDE8A2">
            <w:pPr>
              <w:jc w:val="center"/>
              <w:rPr>
                <w:b/>
                <w:bCs/>
              </w:rPr>
            </w:pPr>
            <w:r>
              <w:rPr>
                <w:b/>
                <w:bCs/>
              </w:rPr>
              <w:t>9</w:t>
            </w:r>
            <w:r w:rsidR="00E57E1D">
              <w:rPr>
                <w:b/>
                <w:bCs/>
              </w:rPr>
              <w:t>3</w:t>
            </w:r>
            <w:r>
              <w:rPr>
                <w:b/>
                <w:bCs/>
              </w:rPr>
              <w:t>.</w:t>
            </w:r>
            <w:r w:rsidR="00E57E1D">
              <w:rPr>
                <w:b/>
                <w:bCs/>
              </w:rPr>
              <w:t>3</w:t>
            </w:r>
            <w:r>
              <w:rPr>
                <w:b/>
                <w:bCs/>
              </w:rPr>
              <w:t>%</w:t>
            </w:r>
          </w:p>
        </w:tc>
      </w:tr>
      <w:tr w:rsidR="00514139" w:rsidTr="325A9C9E" w14:paraId="0A9D72D9" w14:textId="77777777">
        <w:tc>
          <w:tcPr>
            <w:tcW w:w="2942" w:type="dxa"/>
            <w:tcMar/>
          </w:tcPr>
          <w:p w:rsidR="00514139" w:rsidP="00514139" w:rsidRDefault="00514139" w14:paraId="7D64DEB6" w14:textId="1D3776C9">
            <w:pPr>
              <w:jc w:val="center"/>
              <w:rPr>
                <w:b/>
                <w:bCs/>
              </w:rPr>
            </w:pPr>
            <w:r>
              <w:rPr>
                <w:b/>
                <w:bCs/>
              </w:rPr>
              <w:t>271</w:t>
            </w:r>
          </w:p>
        </w:tc>
        <w:tc>
          <w:tcPr>
            <w:tcW w:w="2943" w:type="dxa"/>
            <w:tcMar/>
          </w:tcPr>
          <w:p w:rsidR="00514139" w:rsidP="00514139" w:rsidRDefault="00514139" w14:paraId="21C0E9C6" w14:textId="32F16E9E">
            <w:pPr>
              <w:jc w:val="center"/>
              <w:rPr>
                <w:b/>
                <w:bCs/>
              </w:rPr>
            </w:pPr>
            <w:r>
              <w:rPr>
                <w:b/>
                <w:bCs/>
              </w:rPr>
              <w:t>2</w:t>
            </w:r>
            <w:r w:rsidR="00E57E1D">
              <w:rPr>
                <w:b/>
                <w:bCs/>
              </w:rPr>
              <w:t>32</w:t>
            </w:r>
          </w:p>
        </w:tc>
        <w:tc>
          <w:tcPr>
            <w:tcW w:w="2943" w:type="dxa"/>
            <w:tcMar/>
          </w:tcPr>
          <w:p w:rsidR="00514139" w:rsidP="00514139" w:rsidRDefault="00514139" w14:paraId="00D51BF0" w14:textId="305BBF2A">
            <w:pPr>
              <w:jc w:val="center"/>
              <w:rPr>
                <w:b/>
                <w:bCs/>
              </w:rPr>
            </w:pPr>
            <w:r>
              <w:rPr>
                <w:b/>
                <w:bCs/>
              </w:rPr>
              <w:t>8</w:t>
            </w:r>
            <w:r w:rsidR="00E57E1D">
              <w:rPr>
                <w:b/>
                <w:bCs/>
              </w:rPr>
              <w:t>5</w:t>
            </w:r>
            <w:r>
              <w:rPr>
                <w:b/>
                <w:bCs/>
              </w:rPr>
              <w:t>.0%</w:t>
            </w:r>
          </w:p>
        </w:tc>
      </w:tr>
    </w:tbl>
    <w:p w:rsidR="00514139" w:rsidP="325A9C9E" w:rsidRDefault="00514139" w14:paraId="679A0DA9" w14:textId="1FDD6414">
      <w:pPr>
        <w:pStyle w:val="Normal"/>
        <w:jc w:val="both"/>
        <w:rPr>
          <w:b w:val="1"/>
          <w:bCs w:val="1"/>
        </w:rPr>
      </w:pPr>
      <w:r w:rsidRPr="325A9C9E" w:rsidR="00514139">
        <w:rPr>
          <w:b w:val="1"/>
          <w:bCs w:val="1"/>
        </w:rPr>
        <w:t>Casos especiales</w:t>
      </w:r>
    </w:p>
    <w:p w:rsidRPr="00514139" w:rsidR="00514139" w:rsidP="00E22CAA" w:rsidRDefault="00514139" w14:paraId="4EA01D5A" w14:textId="0C470CA4">
      <w:pPr>
        <w:jc w:val="both"/>
      </w:pPr>
      <w:r w:rsidRPr="00514139">
        <w:t>Corresponden a ca</w:t>
      </w:r>
      <w:r w:rsidR="00696C2E">
        <w:t>s</w:t>
      </w:r>
      <w:r w:rsidRPr="00514139">
        <w:t>os reportados por el equipo territorial y las visitas hechas a campo, tanto en Colegios como jardines privados donde se evidencian posibles cierres, cambios de código DANE o alianzas con otras instituciones</w:t>
      </w:r>
    </w:p>
    <w:tbl>
      <w:tblPr>
        <w:tblStyle w:val="Tablaconcuadrcula"/>
        <w:tblW w:w="0" w:type="auto"/>
        <w:tblLook w:val="04A0" w:firstRow="1" w:lastRow="0" w:firstColumn="1" w:lastColumn="0" w:noHBand="0" w:noVBand="1"/>
      </w:tblPr>
      <w:tblGrid>
        <w:gridCol w:w="2942"/>
        <w:gridCol w:w="2943"/>
        <w:gridCol w:w="2943"/>
      </w:tblGrid>
      <w:tr w:rsidR="00F44E2D" w:rsidTr="00A03158" w14:paraId="3AE2C531" w14:textId="77777777">
        <w:tc>
          <w:tcPr>
            <w:tcW w:w="2942" w:type="dxa"/>
          </w:tcPr>
          <w:p w:rsidR="00F44E2D" w:rsidP="00A03158" w:rsidRDefault="00F44E2D" w14:paraId="7053EC1D" w14:textId="77777777">
            <w:pPr>
              <w:jc w:val="center"/>
              <w:rPr>
                <w:b/>
                <w:bCs/>
              </w:rPr>
            </w:pPr>
            <w:r>
              <w:rPr>
                <w:b/>
                <w:bCs/>
              </w:rPr>
              <w:t>Total, Instituciones privadas</w:t>
            </w:r>
          </w:p>
        </w:tc>
        <w:tc>
          <w:tcPr>
            <w:tcW w:w="2943" w:type="dxa"/>
          </w:tcPr>
          <w:p w:rsidR="00F44E2D" w:rsidP="00A03158" w:rsidRDefault="00F44E2D" w14:paraId="5E95FF75" w14:textId="3B0E4D13">
            <w:pPr>
              <w:jc w:val="center"/>
              <w:rPr>
                <w:b/>
                <w:bCs/>
              </w:rPr>
            </w:pPr>
            <w:r>
              <w:rPr>
                <w:b/>
                <w:bCs/>
              </w:rPr>
              <w:t>Total, casos especiales</w:t>
            </w:r>
          </w:p>
        </w:tc>
        <w:tc>
          <w:tcPr>
            <w:tcW w:w="2943" w:type="dxa"/>
          </w:tcPr>
          <w:p w:rsidR="00F44E2D" w:rsidP="00A03158" w:rsidRDefault="00F44E2D" w14:paraId="3B760D23" w14:textId="77777777">
            <w:pPr>
              <w:jc w:val="center"/>
              <w:rPr>
                <w:b/>
                <w:bCs/>
              </w:rPr>
            </w:pPr>
            <w:r>
              <w:rPr>
                <w:b/>
                <w:bCs/>
              </w:rPr>
              <w:t>Cobertura efectiva</w:t>
            </w:r>
          </w:p>
        </w:tc>
      </w:tr>
      <w:tr w:rsidR="00F44E2D" w:rsidTr="00A03158" w14:paraId="78E6B5BD" w14:textId="77777777">
        <w:tc>
          <w:tcPr>
            <w:tcW w:w="2942" w:type="dxa"/>
          </w:tcPr>
          <w:p w:rsidR="00F44E2D" w:rsidP="00A03158" w:rsidRDefault="00F44E2D" w14:paraId="28B3BB99" w14:textId="77777777">
            <w:pPr>
              <w:jc w:val="center"/>
              <w:rPr>
                <w:b/>
                <w:bCs/>
              </w:rPr>
            </w:pPr>
            <w:r>
              <w:rPr>
                <w:b/>
                <w:bCs/>
              </w:rPr>
              <w:t>1.224</w:t>
            </w:r>
          </w:p>
        </w:tc>
        <w:tc>
          <w:tcPr>
            <w:tcW w:w="2943" w:type="dxa"/>
          </w:tcPr>
          <w:p w:rsidR="00F44E2D" w:rsidP="00A03158" w:rsidRDefault="00F44E2D" w14:paraId="1230AB69" w14:textId="6C7F8344">
            <w:pPr>
              <w:jc w:val="center"/>
              <w:rPr>
                <w:b/>
                <w:bCs/>
              </w:rPr>
            </w:pPr>
            <w:r>
              <w:rPr>
                <w:b/>
                <w:bCs/>
              </w:rPr>
              <w:t>68</w:t>
            </w:r>
          </w:p>
        </w:tc>
        <w:tc>
          <w:tcPr>
            <w:tcW w:w="2943" w:type="dxa"/>
          </w:tcPr>
          <w:p w:rsidR="00F44E2D" w:rsidP="00A03158" w:rsidRDefault="00F44E2D" w14:paraId="702C91EA" w14:textId="1E237949">
            <w:pPr>
              <w:jc w:val="center"/>
              <w:rPr>
                <w:b/>
                <w:bCs/>
              </w:rPr>
            </w:pPr>
            <w:r>
              <w:rPr>
                <w:b/>
                <w:bCs/>
              </w:rPr>
              <w:t>5.6%</w:t>
            </w:r>
          </w:p>
        </w:tc>
      </w:tr>
      <w:tr w:rsidR="00F44E2D" w:rsidTr="00A03158" w14:paraId="24DD4C63" w14:textId="77777777">
        <w:tc>
          <w:tcPr>
            <w:tcW w:w="2942" w:type="dxa"/>
          </w:tcPr>
          <w:p w:rsidR="00F44E2D" w:rsidP="00A03158" w:rsidRDefault="00F44E2D" w14:paraId="45D71E0D" w14:textId="77777777">
            <w:pPr>
              <w:jc w:val="center"/>
              <w:rPr>
                <w:b/>
                <w:bCs/>
              </w:rPr>
            </w:pPr>
            <w:r>
              <w:rPr>
                <w:b/>
                <w:bCs/>
              </w:rPr>
              <w:t>271</w:t>
            </w:r>
          </w:p>
        </w:tc>
        <w:tc>
          <w:tcPr>
            <w:tcW w:w="2943" w:type="dxa"/>
          </w:tcPr>
          <w:p w:rsidR="00F44E2D" w:rsidP="00A03158" w:rsidRDefault="00F44E2D" w14:paraId="68A8C571" w14:textId="49E160E0">
            <w:pPr>
              <w:jc w:val="center"/>
              <w:rPr>
                <w:b/>
                <w:bCs/>
              </w:rPr>
            </w:pPr>
            <w:r>
              <w:rPr>
                <w:b/>
                <w:bCs/>
              </w:rPr>
              <w:t>26</w:t>
            </w:r>
          </w:p>
        </w:tc>
        <w:tc>
          <w:tcPr>
            <w:tcW w:w="2943" w:type="dxa"/>
          </w:tcPr>
          <w:p w:rsidR="00F44E2D" w:rsidP="00A03158" w:rsidRDefault="00F44E2D" w14:paraId="2DAB6F65" w14:textId="7E75F57B">
            <w:pPr>
              <w:jc w:val="center"/>
              <w:rPr>
                <w:b/>
                <w:bCs/>
              </w:rPr>
            </w:pPr>
            <w:r>
              <w:rPr>
                <w:b/>
                <w:bCs/>
              </w:rPr>
              <w:t>9.6%</w:t>
            </w:r>
          </w:p>
        </w:tc>
      </w:tr>
    </w:tbl>
    <w:p w:rsidR="00514139" w:rsidP="00E22CAA" w:rsidRDefault="00514139" w14:paraId="1EBCAE1D" w14:textId="77777777">
      <w:pPr>
        <w:jc w:val="both"/>
        <w:rPr>
          <w:b/>
          <w:bCs/>
        </w:rPr>
      </w:pPr>
    </w:p>
    <w:p w:rsidR="00F44E2D" w:rsidP="00E22CAA" w:rsidRDefault="00F44E2D" w14:paraId="1AC360F4" w14:textId="4274BFAB">
      <w:pPr>
        <w:jc w:val="both"/>
        <w:rPr>
          <w:b/>
          <w:bCs/>
        </w:rPr>
      </w:pPr>
      <w:r>
        <w:rPr>
          <w:b/>
          <w:bCs/>
        </w:rPr>
        <w:t>Relación total de respuesta o cobertura efectiva</w:t>
      </w:r>
    </w:p>
    <w:p w:rsidRPr="00696C2E" w:rsidR="00696C2E" w:rsidP="00E22CAA" w:rsidRDefault="00696C2E" w14:paraId="0C26FD7E" w14:textId="38420191">
      <w:pPr>
        <w:jc w:val="both"/>
      </w:pPr>
      <w:r w:rsidRPr="00696C2E">
        <w:t>Corresponde a la suma de los casos especiales y las instituciones que diligenciaron el censo a corte de diciembre 2024</w:t>
      </w:r>
    </w:p>
    <w:tbl>
      <w:tblPr>
        <w:tblStyle w:val="Tablaconcuadrcula"/>
        <w:tblW w:w="0" w:type="auto"/>
        <w:tblLook w:val="04A0" w:firstRow="1" w:lastRow="0" w:firstColumn="1" w:lastColumn="0" w:noHBand="0" w:noVBand="1"/>
      </w:tblPr>
      <w:tblGrid>
        <w:gridCol w:w="2942"/>
        <w:gridCol w:w="2943"/>
        <w:gridCol w:w="2943"/>
      </w:tblGrid>
      <w:tr w:rsidR="00696C2E" w:rsidTr="00A03158" w14:paraId="133C3E18" w14:textId="77777777">
        <w:tc>
          <w:tcPr>
            <w:tcW w:w="2942" w:type="dxa"/>
          </w:tcPr>
          <w:p w:rsidR="00696C2E" w:rsidP="00A03158" w:rsidRDefault="00696C2E" w14:paraId="42A4DAB9" w14:textId="77777777">
            <w:pPr>
              <w:jc w:val="center"/>
              <w:rPr>
                <w:b/>
                <w:bCs/>
              </w:rPr>
            </w:pPr>
            <w:r>
              <w:rPr>
                <w:b/>
                <w:bCs/>
              </w:rPr>
              <w:t>Total, Instituciones privadas</w:t>
            </w:r>
          </w:p>
        </w:tc>
        <w:tc>
          <w:tcPr>
            <w:tcW w:w="2943" w:type="dxa"/>
          </w:tcPr>
          <w:p w:rsidR="00696C2E" w:rsidP="00A03158" w:rsidRDefault="00D06C89" w14:paraId="4967CF9D" w14:textId="78FD5544">
            <w:pPr>
              <w:jc w:val="center"/>
              <w:rPr>
                <w:b/>
                <w:bCs/>
              </w:rPr>
            </w:pPr>
            <w:r>
              <w:rPr>
                <w:b/>
                <w:bCs/>
              </w:rPr>
              <w:t>Total,</w:t>
            </w:r>
            <w:r w:rsidR="00696C2E">
              <w:rPr>
                <w:b/>
                <w:bCs/>
              </w:rPr>
              <w:t xml:space="preserve"> cobertura</w:t>
            </w:r>
          </w:p>
        </w:tc>
        <w:tc>
          <w:tcPr>
            <w:tcW w:w="2943" w:type="dxa"/>
          </w:tcPr>
          <w:p w:rsidR="00696C2E" w:rsidP="00A03158" w:rsidRDefault="00696C2E" w14:paraId="2E948843" w14:textId="77777777">
            <w:pPr>
              <w:jc w:val="center"/>
              <w:rPr>
                <w:b/>
                <w:bCs/>
              </w:rPr>
            </w:pPr>
            <w:r>
              <w:rPr>
                <w:b/>
                <w:bCs/>
              </w:rPr>
              <w:t>Cobertura efectiva</w:t>
            </w:r>
          </w:p>
        </w:tc>
      </w:tr>
      <w:tr w:rsidR="00696C2E" w:rsidTr="00A03158" w14:paraId="25D6D8E2" w14:textId="77777777">
        <w:tc>
          <w:tcPr>
            <w:tcW w:w="2942" w:type="dxa"/>
          </w:tcPr>
          <w:p w:rsidR="00696C2E" w:rsidP="00A03158" w:rsidRDefault="00696C2E" w14:paraId="0926EAB3" w14:textId="77777777">
            <w:pPr>
              <w:jc w:val="center"/>
              <w:rPr>
                <w:b/>
                <w:bCs/>
              </w:rPr>
            </w:pPr>
            <w:r>
              <w:rPr>
                <w:b/>
                <w:bCs/>
              </w:rPr>
              <w:t>1.224</w:t>
            </w:r>
          </w:p>
        </w:tc>
        <w:tc>
          <w:tcPr>
            <w:tcW w:w="2943" w:type="dxa"/>
          </w:tcPr>
          <w:p w:rsidR="00696C2E" w:rsidP="00A03158" w:rsidRDefault="00696C2E" w14:paraId="35068F8C" w14:textId="4646BE99">
            <w:pPr>
              <w:jc w:val="center"/>
              <w:rPr>
                <w:b/>
                <w:bCs/>
              </w:rPr>
            </w:pPr>
            <w:r>
              <w:rPr>
                <w:b/>
                <w:bCs/>
              </w:rPr>
              <w:t>1</w:t>
            </w:r>
            <w:r w:rsidR="00E57E1D">
              <w:rPr>
                <w:b/>
                <w:bCs/>
              </w:rPr>
              <w:t>.</w:t>
            </w:r>
            <w:r>
              <w:rPr>
                <w:b/>
                <w:bCs/>
              </w:rPr>
              <w:t>2</w:t>
            </w:r>
            <w:r w:rsidR="00E57E1D">
              <w:rPr>
                <w:b/>
                <w:bCs/>
              </w:rPr>
              <w:t>11</w:t>
            </w:r>
          </w:p>
        </w:tc>
        <w:tc>
          <w:tcPr>
            <w:tcW w:w="2943" w:type="dxa"/>
          </w:tcPr>
          <w:p w:rsidR="00696C2E" w:rsidP="00A03158" w:rsidRDefault="00696C2E" w14:paraId="57BDC261" w14:textId="079CF34F">
            <w:pPr>
              <w:jc w:val="center"/>
              <w:rPr>
                <w:b/>
                <w:bCs/>
              </w:rPr>
            </w:pPr>
            <w:r>
              <w:rPr>
                <w:b/>
                <w:bCs/>
              </w:rPr>
              <w:t>98.</w:t>
            </w:r>
            <w:r w:rsidR="00E57E1D">
              <w:rPr>
                <w:b/>
                <w:bCs/>
              </w:rPr>
              <w:t>9</w:t>
            </w:r>
            <w:r>
              <w:rPr>
                <w:b/>
                <w:bCs/>
              </w:rPr>
              <w:t>%</w:t>
            </w:r>
          </w:p>
        </w:tc>
      </w:tr>
      <w:tr w:rsidR="00696C2E" w:rsidTr="00A03158" w14:paraId="1102BB5E" w14:textId="77777777">
        <w:tc>
          <w:tcPr>
            <w:tcW w:w="2942" w:type="dxa"/>
          </w:tcPr>
          <w:p w:rsidR="00696C2E" w:rsidP="00A03158" w:rsidRDefault="00696C2E" w14:paraId="3E4B212E" w14:textId="77777777">
            <w:pPr>
              <w:jc w:val="center"/>
              <w:rPr>
                <w:b/>
                <w:bCs/>
              </w:rPr>
            </w:pPr>
            <w:r>
              <w:rPr>
                <w:b/>
                <w:bCs/>
              </w:rPr>
              <w:t>271</w:t>
            </w:r>
          </w:p>
        </w:tc>
        <w:tc>
          <w:tcPr>
            <w:tcW w:w="2943" w:type="dxa"/>
          </w:tcPr>
          <w:p w:rsidR="00696C2E" w:rsidP="00A03158" w:rsidRDefault="00696C2E" w14:paraId="6344BBB3" w14:textId="57572C2E">
            <w:pPr>
              <w:jc w:val="center"/>
              <w:rPr>
                <w:b/>
                <w:bCs/>
              </w:rPr>
            </w:pPr>
            <w:r>
              <w:rPr>
                <w:b/>
                <w:bCs/>
              </w:rPr>
              <w:t>25</w:t>
            </w:r>
            <w:r w:rsidR="00E57E1D">
              <w:rPr>
                <w:b/>
                <w:bCs/>
              </w:rPr>
              <w:t>8</w:t>
            </w:r>
          </w:p>
        </w:tc>
        <w:tc>
          <w:tcPr>
            <w:tcW w:w="2943" w:type="dxa"/>
          </w:tcPr>
          <w:p w:rsidR="00696C2E" w:rsidP="00A03158" w:rsidRDefault="00696C2E" w14:paraId="5EE1A1A2" w14:textId="28B6183A">
            <w:pPr>
              <w:jc w:val="center"/>
              <w:rPr>
                <w:b/>
                <w:bCs/>
              </w:rPr>
            </w:pPr>
            <w:r>
              <w:rPr>
                <w:b/>
                <w:bCs/>
              </w:rPr>
              <w:t>9</w:t>
            </w:r>
            <w:r w:rsidR="00E57E1D">
              <w:rPr>
                <w:b/>
                <w:bCs/>
              </w:rPr>
              <w:t>5</w:t>
            </w:r>
            <w:r>
              <w:rPr>
                <w:b/>
                <w:bCs/>
              </w:rPr>
              <w:t>.</w:t>
            </w:r>
            <w:r w:rsidR="00E57E1D">
              <w:rPr>
                <w:b/>
                <w:bCs/>
              </w:rPr>
              <w:t>2</w:t>
            </w:r>
            <w:r>
              <w:rPr>
                <w:b/>
                <w:bCs/>
              </w:rPr>
              <w:t>%</w:t>
            </w:r>
          </w:p>
        </w:tc>
      </w:tr>
    </w:tbl>
    <w:p w:rsidR="00F44E2D" w:rsidP="00E22CAA" w:rsidRDefault="00F44E2D" w14:paraId="0B07B9EF" w14:textId="77777777">
      <w:pPr>
        <w:jc w:val="both"/>
        <w:rPr>
          <w:b/>
          <w:bCs/>
        </w:rPr>
      </w:pPr>
    </w:p>
    <w:p w:rsidR="00CE4D85" w:rsidP="00E22CAA" w:rsidRDefault="00CE4D85" w14:paraId="6653F603" w14:textId="13EEBFE4">
      <w:pPr>
        <w:jc w:val="both"/>
        <w:rPr>
          <w:b/>
          <w:bCs/>
        </w:rPr>
      </w:pPr>
      <w:r w:rsidRPr="00CE4D85">
        <w:rPr>
          <w:b/>
          <w:bCs/>
        </w:rPr>
        <w:t>Control de calidad</w:t>
      </w:r>
    </w:p>
    <w:p w:rsidRPr="005159B1" w:rsidR="005159B1" w:rsidP="005159B1" w:rsidRDefault="005159B1" w14:paraId="712A2F3B" w14:textId="77777777">
      <w:pPr>
        <w:jc w:val="both"/>
      </w:pPr>
      <w:r w:rsidRPr="005159B1">
        <w:t>Para garantizar la calidad y consistencia de los datos recolectados en el censo, se implementaron los siguientes métodos estadísticos y operativos:</w:t>
      </w:r>
    </w:p>
    <w:p w:rsidRPr="005159B1" w:rsidR="005159B1" w:rsidP="005159B1" w:rsidRDefault="005159B1" w14:paraId="7A62D19B" w14:textId="77777777">
      <w:pPr>
        <w:jc w:val="both"/>
      </w:pPr>
    </w:p>
    <w:p w:rsidRPr="005159B1" w:rsidR="005159B1" w:rsidP="005159B1" w:rsidRDefault="005159B1" w14:paraId="537AD651" w14:textId="719872C8">
      <w:pPr>
        <w:pStyle w:val="Prrafodelista"/>
        <w:numPr>
          <w:ilvl w:val="0"/>
          <w:numId w:val="4"/>
        </w:numPr>
        <w:jc w:val="both"/>
      </w:pPr>
      <w:r w:rsidRPr="005159B1">
        <w:t xml:space="preserve">Verificación telefónica directa: se contactó a las </w:t>
      </w:r>
      <w:r>
        <w:t>instituciones</w:t>
      </w:r>
      <w:r w:rsidRPr="005159B1">
        <w:t xml:space="preserve"> censadas para confirmar la veracidad de la información reportada, especialmente en los casos con inconsistencias o datos atípicos.</w:t>
      </w:r>
    </w:p>
    <w:p w:rsidRPr="005159B1" w:rsidR="005159B1" w:rsidP="005159B1" w:rsidRDefault="005159B1" w14:paraId="11172FA0" w14:textId="36702A91">
      <w:pPr>
        <w:pStyle w:val="Prrafodelista"/>
        <w:numPr>
          <w:ilvl w:val="0"/>
          <w:numId w:val="4"/>
        </w:numPr>
        <w:jc w:val="both"/>
      </w:pPr>
      <w:r w:rsidRPr="005159B1">
        <w:t xml:space="preserve">Cruce de información con bases de datos externas: se contrastaron los registros censales con otras fuentes </w:t>
      </w:r>
      <w:r>
        <w:t>históricas</w:t>
      </w:r>
      <w:r w:rsidRPr="005159B1">
        <w:t xml:space="preserve"> (</w:t>
      </w:r>
      <w:r>
        <w:t>SIMAT, DUE, SABER 11, TIEMPO DE SERVICIO DOCENTE, EVI AUTOEVALUACIÓN</w:t>
      </w:r>
      <w:r w:rsidRPr="005159B1">
        <w:t>).</w:t>
      </w:r>
    </w:p>
    <w:p w:rsidRPr="005159B1" w:rsidR="005159B1" w:rsidP="00AE5A98" w:rsidRDefault="005159B1" w14:paraId="418ABEBA" w14:textId="77777777">
      <w:pPr>
        <w:pStyle w:val="Prrafodelista"/>
        <w:numPr>
          <w:ilvl w:val="0"/>
          <w:numId w:val="4"/>
        </w:numPr>
        <w:jc w:val="both"/>
      </w:pPr>
      <w:r w:rsidRPr="005159B1">
        <w:t>Revisión de consistencia interna: se aplicaron reglas lógicas y validaciones automáticas para detectar y corregir errores internos en los formularios, tales como:</w:t>
      </w:r>
    </w:p>
    <w:p w:rsidRPr="005159B1" w:rsidR="005159B1" w:rsidP="005159B1" w:rsidRDefault="005159B1" w14:paraId="02C3C8DB" w14:textId="77777777">
      <w:pPr>
        <w:jc w:val="both"/>
      </w:pPr>
    </w:p>
    <w:p w:rsidRPr="005159B1" w:rsidR="005159B1" w:rsidP="00AE5A98" w:rsidRDefault="005159B1" w14:paraId="2BFD2086" w14:textId="77777777">
      <w:pPr>
        <w:pStyle w:val="Prrafodelista"/>
        <w:numPr>
          <w:ilvl w:val="0"/>
          <w:numId w:val="5"/>
        </w:numPr>
        <w:jc w:val="both"/>
      </w:pPr>
      <w:r w:rsidRPr="005159B1">
        <w:t>Campos obligatorios incompletos,</w:t>
      </w:r>
    </w:p>
    <w:p w:rsidRPr="005159B1" w:rsidR="005159B1" w:rsidP="005159B1" w:rsidRDefault="005159B1" w14:paraId="28D5798B" w14:textId="77777777">
      <w:pPr>
        <w:jc w:val="both"/>
      </w:pPr>
    </w:p>
    <w:p w:rsidRPr="005159B1" w:rsidR="005159B1" w:rsidP="00AE5A98" w:rsidRDefault="005159B1" w14:paraId="20A49134" w14:textId="77777777">
      <w:pPr>
        <w:pStyle w:val="Prrafodelista"/>
        <w:numPr>
          <w:ilvl w:val="0"/>
          <w:numId w:val="5"/>
        </w:numPr>
        <w:jc w:val="both"/>
      </w:pPr>
      <w:r w:rsidRPr="005159B1">
        <w:t>Incoherencias entre variables relacionadas (ej. edad y nivel educativo),</w:t>
      </w:r>
    </w:p>
    <w:p w:rsidRPr="005159B1" w:rsidR="005159B1" w:rsidP="005159B1" w:rsidRDefault="005159B1" w14:paraId="64634B36" w14:textId="77777777">
      <w:pPr>
        <w:jc w:val="both"/>
      </w:pPr>
    </w:p>
    <w:p w:rsidR="005159B1" w:rsidP="005159B1" w:rsidRDefault="005159B1" w14:paraId="67831443" w14:textId="7FB028B1">
      <w:pPr>
        <w:pStyle w:val="Prrafodelista"/>
        <w:numPr>
          <w:ilvl w:val="0"/>
          <w:numId w:val="5"/>
        </w:numPr>
        <w:jc w:val="both"/>
      </w:pPr>
      <w:r w:rsidRPr="005159B1">
        <w:t>Detección de duplicados.</w:t>
      </w:r>
    </w:p>
    <w:p w:rsidR="00AE5A98" w:rsidP="00AE5A98" w:rsidRDefault="00AE5A98" w14:paraId="520D3CE4" w14:textId="77777777">
      <w:pPr>
        <w:pStyle w:val="Prrafodelista"/>
      </w:pPr>
    </w:p>
    <w:p w:rsidRPr="005159B1" w:rsidR="00AE5A98" w:rsidP="00AE5A98" w:rsidRDefault="00AE5A98" w14:paraId="7AC77CD7" w14:textId="77777777">
      <w:pPr>
        <w:pStyle w:val="Prrafodelista"/>
        <w:jc w:val="both"/>
      </w:pPr>
    </w:p>
    <w:p w:rsidR="00CE4D85" w:rsidP="00AE5A98" w:rsidRDefault="005159B1" w14:paraId="02EFE2A4" w14:textId="2AAD3644">
      <w:pPr>
        <w:pStyle w:val="Prrafodelista"/>
        <w:numPr>
          <w:ilvl w:val="0"/>
          <w:numId w:val="4"/>
        </w:numPr>
        <w:jc w:val="both"/>
      </w:pPr>
      <w:r w:rsidRPr="005159B1">
        <w:t>Consolidación y depuración de datos: una vez recolectada la información, se aplicaron rutinas estadísticas de depuración que permitieron corregir registros erróneos, completar datos faltantes y homogeneizar la codificación de variables.</w:t>
      </w:r>
    </w:p>
    <w:p w:rsidR="00F1685B" w:rsidP="00F1685B" w:rsidRDefault="00F1685B" w14:paraId="351F640E" w14:textId="14BBB974">
      <w:pPr>
        <w:jc w:val="both"/>
        <w:rPr>
          <w:b/>
          <w:bCs/>
        </w:rPr>
      </w:pPr>
      <w:r w:rsidRPr="00F1685B">
        <w:rPr>
          <w:b/>
          <w:bCs/>
        </w:rPr>
        <w:t>Procesamiento y análisis de datos</w:t>
      </w:r>
    </w:p>
    <w:p w:rsidR="00F1685B" w:rsidP="00F1685B" w:rsidRDefault="00F1685B" w14:paraId="1E65FA13" w14:textId="03ABC68A">
      <w:pPr>
        <w:jc w:val="both"/>
      </w:pPr>
      <w:r>
        <w:t>Una vez se validan los datos correspondientes a las instituciones censadas y se depuran posibles errores de diligenciamiento u omisión de información, se realiza la publicación de los resultados generales arrojados, que se puede consultar en:</w:t>
      </w:r>
    </w:p>
    <w:p w:rsidR="006F0CCF" w:rsidP="00F1685B" w:rsidRDefault="00B6309F" w14:paraId="6FEC3BFA" w14:textId="3E36CE15">
      <w:pPr>
        <w:jc w:val="both"/>
      </w:pPr>
      <w:hyperlink w:tgtFrame="_blank" w:tooltip="https://app.powerbi.com/view?r=eyJrIjoiODQxNTNjYmEtOWVmZi00OGM5LWI4MzAtODdjNjI1N2I3NjYwIiwidCI6IjM3MTE3OWI1LWM4YTAtNDNiZS04MDgzLTk1YmFiMjZiYzY1MCIsImMiOjR9" w:history="1" r:id="rId5">
        <w:r w:rsidR="00FC4D85">
          <w:rPr>
            <w:rStyle w:val="Hipervnculo"/>
            <w:rFonts w:ascii="Segoe UI" w:hAnsi="Segoe UI" w:cs="Segoe UI"/>
            <w:bdr w:val="none" w:color="auto" w:sz="0" w:space="0" w:frame="1"/>
            <w:shd w:val="clear" w:color="auto" w:fill="FFFFFF"/>
          </w:rPr>
          <w:t>https://app.powerbi.com/view?r=eyJrIjoiODQxNTNjYmEtOWVmZi00OGM5LWI4MzAtODdjNjI1N2I3NjYwIiwidCI6IjM3MTE3OWI1LWM4YTAtNDNiZS04MDgzLTk1YmFiMjZiYzY1MCIsImMiOjR9</w:t>
        </w:r>
      </w:hyperlink>
    </w:p>
    <w:p w:rsidRPr="00D15959" w:rsidR="00F1685B" w:rsidP="00F1685B" w:rsidRDefault="00D15959" w14:paraId="70525857" w14:textId="292AE934">
      <w:pPr>
        <w:jc w:val="both"/>
        <w:rPr>
          <w:b/>
          <w:bCs/>
        </w:rPr>
      </w:pPr>
      <w:r w:rsidRPr="00D15959">
        <w:rPr>
          <w:b/>
          <w:bCs/>
        </w:rPr>
        <w:t>Recolección de datos</w:t>
      </w:r>
    </w:p>
    <w:p w:rsidR="00D15959" w:rsidP="00F1685B" w:rsidRDefault="00D15959" w14:paraId="54BA1606" w14:textId="578CD9AA">
      <w:pPr>
        <w:jc w:val="both"/>
      </w:pPr>
      <w:r>
        <w:t>Año:2024, 30 de septiembre – 30 de diciembre.</w:t>
      </w:r>
    </w:p>
    <w:p w:rsidR="00FC4D85" w:rsidP="00F1685B" w:rsidRDefault="00FC4D85" w14:paraId="51872706" w14:textId="5A539ABD">
      <w:pPr>
        <w:jc w:val="both"/>
      </w:pPr>
      <w:r>
        <w:t>Año:2025, 15 de enero – 30 de junio (Colegios y jardines pendientes 2024)</w:t>
      </w:r>
    </w:p>
    <w:p w:rsidR="00D15959" w:rsidP="00F1685B" w:rsidRDefault="002D4995" w14:paraId="6DBAFC92" w14:textId="08B8AAF9">
      <w:pPr>
        <w:jc w:val="both"/>
        <w:rPr>
          <w:b/>
          <w:bCs/>
        </w:rPr>
      </w:pPr>
      <w:r w:rsidRPr="002D4995">
        <w:rPr>
          <w:b/>
          <w:bCs/>
        </w:rPr>
        <w:t>Modo de recolección de datos</w:t>
      </w:r>
    </w:p>
    <w:p w:rsidR="002D4995" w:rsidP="00F1685B" w:rsidRDefault="002D4995" w14:paraId="51C25271" w14:textId="66BB2482">
      <w:pPr>
        <w:jc w:val="both"/>
      </w:pPr>
      <w:r>
        <w:t xml:space="preserve">La recolección de datos se realizó mediante una </w:t>
      </w:r>
      <w:r>
        <w:rPr>
          <w:rStyle w:val="Textoennegrita"/>
        </w:rPr>
        <w:t>encuesta virtual autogestionada</w:t>
      </w:r>
      <w:r>
        <w:t>, aplicada a través de un formulario en línea, disponible en la página de la SED.</w:t>
      </w:r>
    </w:p>
    <w:p w:rsidR="0054411B" w:rsidP="0054411B" w:rsidRDefault="0054411B" w14:paraId="23A51A80" w14:textId="05757538">
      <w:pPr>
        <w:jc w:val="both"/>
        <w:rPr>
          <w:b/>
          <w:bCs/>
        </w:rPr>
      </w:pPr>
      <w:r w:rsidRPr="0054411B">
        <w:rPr>
          <w:b/>
          <w:bCs/>
        </w:rPr>
        <w:t>Características de la situación de recopilación de datos: notas sobre la recopilación de datos</w:t>
      </w:r>
    </w:p>
    <w:p w:rsidRPr="0054411B" w:rsidR="002A1BE5" w:rsidP="0054411B" w:rsidRDefault="002A1BE5" w14:paraId="061EA603" w14:textId="77777777">
      <w:pPr>
        <w:jc w:val="both"/>
        <w:rPr>
          <w:b/>
          <w:bCs/>
        </w:rPr>
      </w:pPr>
    </w:p>
    <w:p w:rsidR="002D4995" w:rsidP="0054411B" w:rsidRDefault="0054411B" w14:paraId="737645BF" w14:textId="0FF66510">
      <w:pPr>
        <w:jc w:val="both"/>
        <w:rPr>
          <w:b/>
          <w:bCs/>
        </w:rPr>
      </w:pPr>
      <w:r w:rsidRPr="0054411B">
        <w:rPr>
          <w:b/>
          <w:bCs/>
        </w:rPr>
        <w:lastRenderedPageBreak/>
        <w:t>ESTRUCTURA ORGANIZACIONAL DEL OPERATIVO Y CONFORMACIÓN DEL EQUIPO</w:t>
      </w:r>
    </w:p>
    <w:p w:rsidRPr="00B91A16" w:rsidR="00B91A16" w:rsidP="00B91A16" w:rsidRDefault="00B91A16" w14:paraId="12E9D49F" w14:textId="458B7F27">
      <w:pPr>
        <w:jc w:val="both"/>
      </w:pPr>
      <w:r w:rsidRPr="00B91A16">
        <w:t>A continuación, se describen las actividades correspondientes a cada rol:</w:t>
      </w:r>
    </w:p>
    <w:p w:rsidRPr="00B91A16" w:rsidR="00B91A16" w:rsidP="00B91A16" w:rsidRDefault="00B91A16" w14:paraId="0D4674E4" w14:textId="0AF38FBC">
      <w:pPr>
        <w:jc w:val="both"/>
      </w:pPr>
      <w:r w:rsidRPr="00B91A16">
        <w:rPr>
          <w:b/>
          <w:bCs/>
        </w:rPr>
        <w:t>Responsable de Encuesta:</w:t>
      </w:r>
      <w:r w:rsidRPr="00B91A16">
        <w:t xml:space="preserve"> </w:t>
      </w:r>
      <w:r>
        <w:t xml:space="preserve">Investigadores principales, equipo Censo 2024. Dirección </w:t>
      </w:r>
      <w:r w:rsidRPr="00B91A16">
        <w:t>de Relaciones con el Sector Educativo Privado</w:t>
      </w:r>
    </w:p>
    <w:p w:rsidRPr="00B91A16" w:rsidR="00B91A16" w:rsidP="00B91A16" w:rsidRDefault="00B91A16" w14:paraId="6EA5FDDF" w14:textId="78536559">
      <w:pPr>
        <w:jc w:val="both"/>
      </w:pPr>
      <w:r w:rsidRPr="00B91A16">
        <w:rPr>
          <w:b/>
          <w:bCs/>
        </w:rPr>
        <w:t>Coordinador de Campo:</w:t>
      </w:r>
      <w:r w:rsidRPr="00B91A16">
        <w:t xml:space="preserve"> es la persona responsable de las actividades operativas y la supervisión a los equipos de trabajo en campo</w:t>
      </w:r>
      <w:r>
        <w:t>.</w:t>
      </w:r>
    </w:p>
    <w:p w:rsidRPr="00B91A16" w:rsidR="00B91A16" w:rsidP="00B91A16" w:rsidRDefault="00B91A16" w14:paraId="69C8F811" w14:textId="1399C520">
      <w:pPr>
        <w:jc w:val="both"/>
      </w:pPr>
      <w:r w:rsidRPr="00B91A16">
        <w:rPr>
          <w:b/>
          <w:bCs/>
        </w:rPr>
        <w:t>Apoyo Informático:</w:t>
      </w:r>
      <w:r w:rsidRPr="00B91A16">
        <w:t xml:space="preserve"> Oficina de Tecnologías de la Información y las comunicaciones-OTIC</w:t>
      </w:r>
      <w:r w:rsidR="00DC155A">
        <w:t>.</w:t>
      </w:r>
    </w:p>
    <w:p w:rsidRPr="00B91A16" w:rsidR="00B91A16" w:rsidP="00B91A16" w:rsidRDefault="00B91A16" w14:paraId="3163D1D4" w14:textId="134C388E">
      <w:pPr>
        <w:jc w:val="both"/>
      </w:pPr>
      <w:r w:rsidRPr="006B7A04">
        <w:rPr>
          <w:b/>
          <w:bCs/>
        </w:rPr>
        <w:t xml:space="preserve">Supervisor de Campo: </w:t>
      </w:r>
      <w:r w:rsidRPr="00B91A16">
        <w:t xml:space="preserve">es la persona que se encarga de conseguir la ubicación correcta del equipo en campo, de hacer el seguimiento y control de la orientación del proceso de recolección en las áreas seleccionadas y asignadas. </w:t>
      </w:r>
      <w:r w:rsidR="00DC155A">
        <w:t>(</w:t>
      </w:r>
      <w:r w:rsidR="006B7A04">
        <w:t>Investigadores, analista de datos,</w:t>
      </w:r>
      <w:r w:rsidRPr="006B7A04" w:rsidR="006B7A04">
        <w:t xml:space="preserve"> </w:t>
      </w:r>
      <w:r w:rsidR="00DC155A">
        <w:t>equipo censo 2024.</w:t>
      </w:r>
      <w:r w:rsidRPr="006B7A04" w:rsidR="006B7A04">
        <w:t>Dirección de Relaciones con el Sector Educativo Privado</w:t>
      </w:r>
      <w:r w:rsidR="00DC155A">
        <w:t>)</w:t>
      </w:r>
    </w:p>
    <w:p w:rsidRPr="00B91A16" w:rsidR="00DC155A" w:rsidP="00DC155A" w:rsidRDefault="00B91A16" w14:paraId="361B7B83" w14:textId="52289B46">
      <w:pPr>
        <w:jc w:val="both"/>
      </w:pPr>
      <w:r w:rsidRPr="006B7A04">
        <w:rPr>
          <w:b/>
          <w:bCs/>
        </w:rPr>
        <w:t>Encuestador</w:t>
      </w:r>
      <w:r w:rsidR="006B7A04">
        <w:rPr>
          <w:b/>
          <w:bCs/>
        </w:rPr>
        <w:t xml:space="preserve"> </w:t>
      </w:r>
      <w:r w:rsidRPr="006B7A04" w:rsidR="006B7A04">
        <w:rPr>
          <w:b/>
          <w:bCs/>
        </w:rPr>
        <w:t>- equipo territorial</w:t>
      </w:r>
      <w:r w:rsidRPr="00B91A16">
        <w:t xml:space="preserve">: es la persona que se encarga de visitar las </w:t>
      </w:r>
      <w:r w:rsidR="006B7A04">
        <w:t xml:space="preserve">instituciones </w:t>
      </w:r>
      <w:r w:rsidRPr="00B91A16" w:rsidR="006B7A04">
        <w:t>seleccionad</w:t>
      </w:r>
      <w:r w:rsidR="006B7A04">
        <w:t>as</w:t>
      </w:r>
      <w:r w:rsidRPr="00B91A16">
        <w:t xml:space="preserve"> y entrevistar a las personas para obtener información de acuerdo con la </w:t>
      </w:r>
      <w:r w:rsidR="006B7A04">
        <w:t>metodología a su vez de realizar el seguimiento constante del avance de las localidades y posibles fallas en el diligenciamiento y aplicativo</w:t>
      </w:r>
      <w:r w:rsidR="00DC155A">
        <w:t xml:space="preserve"> (Equipo censo 2024.</w:t>
      </w:r>
      <w:r w:rsidRPr="006B7A04" w:rsidR="00DC155A">
        <w:t>Dirección de Relaciones con el Sector Educativo Privado</w:t>
      </w:r>
      <w:r w:rsidR="00DC155A">
        <w:t>)</w:t>
      </w:r>
    </w:p>
    <w:p w:rsidRPr="00B91A16" w:rsidR="00B91A16" w:rsidP="00B91A16" w:rsidRDefault="00B91A16" w14:paraId="5D758B8E" w14:textId="575E17FF">
      <w:pPr>
        <w:jc w:val="both"/>
      </w:pPr>
    </w:p>
    <w:p w:rsidRPr="00B91A16" w:rsidR="00B91A16" w:rsidP="00B91A16" w:rsidRDefault="00B91A16" w14:paraId="0177A2C0" w14:textId="77777777">
      <w:pPr>
        <w:jc w:val="both"/>
      </w:pPr>
    </w:p>
    <w:sectPr w:rsidRPr="00B91A16" w:rsidR="00B91A16">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A1C52"/>
    <w:multiLevelType w:val="hybridMultilevel"/>
    <w:tmpl w:val="6AA820A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795172"/>
    <w:multiLevelType w:val="hybridMultilevel"/>
    <w:tmpl w:val="7FAA100E"/>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9EE51A7"/>
    <w:multiLevelType w:val="hybridMultilevel"/>
    <w:tmpl w:val="6C487EB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3D7C74DC"/>
    <w:multiLevelType w:val="hybridMultilevel"/>
    <w:tmpl w:val="7FAA100E"/>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4F8C7E17"/>
    <w:multiLevelType w:val="hybridMultilevel"/>
    <w:tmpl w:val="F9E2EC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511562"/>
    <w:multiLevelType w:val="hybridMultilevel"/>
    <w:tmpl w:val="B62C5C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F660D1B"/>
    <w:multiLevelType w:val="hybridMultilevel"/>
    <w:tmpl w:val="E80228B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75"/>
    <w:rsid w:val="0004074B"/>
    <w:rsid w:val="00087053"/>
    <w:rsid w:val="002548DB"/>
    <w:rsid w:val="002A1BE5"/>
    <w:rsid w:val="002D4995"/>
    <w:rsid w:val="00312B3F"/>
    <w:rsid w:val="003C1B34"/>
    <w:rsid w:val="003D162E"/>
    <w:rsid w:val="00465CB4"/>
    <w:rsid w:val="00514139"/>
    <w:rsid w:val="005159B1"/>
    <w:rsid w:val="005421EE"/>
    <w:rsid w:val="0054411B"/>
    <w:rsid w:val="00696C2E"/>
    <w:rsid w:val="006B7A04"/>
    <w:rsid w:val="006F0CCF"/>
    <w:rsid w:val="00721EC2"/>
    <w:rsid w:val="00974DDD"/>
    <w:rsid w:val="00A40F0F"/>
    <w:rsid w:val="00AB0D4F"/>
    <w:rsid w:val="00AC1575"/>
    <w:rsid w:val="00AC3329"/>
    <w:rsid w:val="00AE5A98"/>
    <w:rsid w:val="00B6309F"/>
    <w:rsid w:val="00B91A16"/>
    <w:rsid w:val="00C077E9"/>
    <w:rsid w:val="00C2170E"/>
    <w:rsid w:val="00CE4D85"/>
    <w:rsid w:val="00CF3DCB"/>
    <w:rsid w:val="00D06C89"/>
    <w:rsid w:val="00D15959"/>
    <w:rsid w:val="00D321C7"/>
    <w:rsid w:val="00D512F7"/>
    <w:rsid w:val="00DC155A"/>
    <w:rsid w:val="00E22CAA"/>
    <w:rsid w:val="00E57E1D"/>
    <w:rsid w:val="00EC0024"/>
    <w:rsid w:val="00F0341F"/>
    <w:rsid w:val="00F141C1"/>
    <w:rsid w:val="00F1685B"/>
    <w:rsid w:val="00F44E2D"/>
    <w:rsid w:val="00FB5F14"/>
    <w:rsid w:val="00FC4D85"/>
    <w:rsid w:val="0AF08F0D"/>
    <w:rsid w:val="0FA83304"/>
    <w:rsid w:val="15A66593"/>
    <w:rsid w:val="1A861E51"/>
    <w:rsid w:val="30FE9A28"/>
    <w:rsid w:val="325A9C9E"/>
    <w:rsid w:val="34C5BCA4"/>
    <w:rsid w:val="35CAB567"/>
    <w:rsid w:val="4DC5C636"/>
    <w:rsid w:val="5642F182"/>
    <w:rsid w:val="5B85B44F"/>
    <w:rsid w:val="5F59DA57"/>
    <w:rsid w:val="5F809DA4"/>
    <w:rsid w:val="60EFF8C9"/>
    <w:rsid w:val="66E7C3DC"/>
    <w:rsid w:val="670437EC"/>
    <w:rsid w:val="6D01781D"/>
    <w:rsid w:val="73A1E9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F95B"/>
  <w15:chartTrackingRefBased/>
  <w15:docId w15:val="{767C0A58-3EB1-4CD1-B4F3-AF572C5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D512F7"/>
    <w:pPr>
      <w:ind w:left="720"/>
      <w:contextualSpacing/>
    </w:pPr>
  </w:style>
  <w:style w:type="table" w:styleId="Tablaconcuadrcula">
    <w:name w:val="Table Grid"/>
    <w:basedOn w:val="Tablanormal"/>
    <w:uiPriority w:val="39"/>
    <w:rsid w:val="005141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F1685B"/>
    <w:rPr>
      <w:color w:val="0563C1" w:themeColor="hyperlink"/>
      <w:u w:val="single"/>
    </w:rPr>
  </w:style>
  <w:style w:type="character" w:styleId="Mencinsinresolver">
    <w:name w:val="Unresolved Mention"/>
    <w:basedOn w:val="Fuentedeprrafopredeter"/>
    <w:uiPriority w:val="99"/>
    <w:semiHidden/>
    <w:unhideWhenUsed/>
    <w:rsid w:val="00F1685B"/>
    <w:rPr>
      <w:color w:val="605E5C"/>
      <w:shd w:val="clear" w:color="auto" w:fill="E1DFDD"/>
    </w:rPr>
  </w:style>
  <w:style w:type="character" w:styleId="Hipervnculovisitado">
    <w:name w:val="FollowedHyperlink"/>
    <w:basedOn w:val="Fuentedeprrafopredeter"/>
    <w:uiPriority w:val="99"/>
    <w:semiHidden/>
    <w:unhideWhenUsed/>
    <w:rsid w:val="00F1685B"/>
    <w:rPr>
      <w:color w:val="954F72" w:themeColor="followedHyperlink"/>
      <w:u w:val="single"/>
    </w:rPr>
  </w:style>
  <w:style w:type="character" w:styleId="Textoennegrita">
    <w:name w:val="Strong"/>
    <w:basedOn w:val="Fuentedeprrafopredeter"/>
    <w:uiPriority w:val="22"/>
    <w:qFormat/>
    <w:rsid w:val="002D4995"/>
    <w:rPr>
      <w:b/>
      <w:bCs/>
    </w:rPr>
  </w:style>
  <w:style w:type="paragraph" w:styleId="Textodeglobo">
    <w:name w:val="Balloon Text"/>
    <w:basedOn w:val="Normal"/>
    <w:link w:val="TextodegloboCar"/>
    <w:uiPriority w:val="99"/>
    <w:semiHidden/>
    <w:unhideWhenUsed/>
    <w:rsid w:val="00AB0D4F"/>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AB0D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311508">
      <w:bodyDiv w:val="1"/>
      <w:marLeft w:val="0"/>
      <w:marRight w:val="0"/>
      <w:marTop w:val="0"/>
      <w:marBottom w:val="0"/>
      <w:divBdr>
        <w:top w:val="none" w:sz="0" w:space="0" w:color="auto"/>
        <w:left w:val="none" w:sz="0" w:space="0" w:color="auto"/>
        <w:bottom w:val="none" w:sz="0" w:space="0" w:color="auto"/>
        <w:right w:val="none" w:sz="0" w:space="0" w:color="auto"/>
      </w:divBdr>
    </w:div>
    <w:div w:id="251201657">
      <w:bodyDiv w:val="1"/>
      <w:marLeft w:val="0"/>
      <w:marRight w:val="0"/>
      <w:marTop w:val="0"/>
      <w:marBottom w:val="0"/>
      <w:divBdr>
        <w:top w:val="none" w:sz="0" w:space="0" w:color="auto"/>
        <w:left w:val="none" w:sz="0" w:space="0" w:color="auto"/>
        <w:bottom w:val="none" w:sz="0" w:space="0" w:color="auto"/>
        <w:right w:val="none" w:sz="0" w:space="0" w:color="auto"/>
      </w:divBdr>
    </w:div>
    <w:div w:id="1261110636">
      <w:bodyDiv w:val="1"/>
      <w:marLeft w:val="0"/>
      <w:marRight w:val="0"/>
      <w:marTop w:val="0"/>
      <w:marBottom w:val="0"/>
      <w:divBdr>
        <w:top w:val="none" w:sz="0" w:space="0" w:color="auto"/>
        <w:left w:val="none" w:sz="0" w:space="0" w:color="auto"/>
        <w:bottom w:val="none" w:sz="0" w:space="0" w:color="auto"/>
        <w:right w:val="none" w:sz="0" w:space="0" w:color="auto"/>
      </w:divBdr>
      <w:divsChild>
        <w:div w:id="2109815647">
          <w:marLeft w:val="0"/>
          <w:marRight w:val="0"/>
          <w:marTop w:val="225"/>
          <w:marBottom w:val="0"/>
          <w:divBdr>
            <w:top w:val="none" w:sz="0" w:space="0" w:color="auto"/>
            <w:left w:val="none" w:sz="0" w:space="0" w:color="auto"/>
            <w:bottom w:val="none" w:sz="0" w:space="0" w:color="auto"/>
            <w:right w:val="none" w:sz="0" w:space="0" w:color="auto"/>
          </w:divBdr>
        </w:div>
      </w:divsChild>
    </w:div>
    <w:div w:id="1285115869">
      <w:bodyDiv w:val="1"/>
      <w:marLeft w:val="0"/>
      <w:marRight w:val="0"/>
      <w:marTop w:val="0"/>
      <w:marBottom w:val="0"/>
      <w:divBdr>
        <w:top w:val="none" w:sz="0" w:space="0" w:color="auto"/>
        <w:left w:val="none" w:sz="0" w:space="0" w:color="auto"/>
        <w:bottom w:val="none" w:sz="0" w:space="0" w:color="auto"/>
        <w:right w:val="none" w:sz="0" w:space="0" w:color="auto"/>
      </w:divBdr>
    </w:div>
    <w:div w:id="1326393818">
      <w:bodyDiv w:val="1"/>
      <w:marLeft w:val="0"/>
      <w:marRight w:val="0"/>
      <w:marTop w:val="0"/>
      <w:marBottom w:val="0"/>
      <w:divBdr>
        <w:top w:val="none" w:sz="0" w:space="0" w:color="auto"/>
        <w:left w:val="none" w:sz="0" w:space="0" w:color="auto"/>
        <w:bottom w:val="none" w:sz="0" w:space="0" w:color="auto"/>
        <w:right w:val="none" w:sz="0" w:space="0" w:color="auto"/>
      </w:divBdr>
    </w:div>
    <w:div w:id="1822231652">
      <w:bodyDiv w:val="1"/>
      <w:marLeft w:val="0"/>
      <w:marRight w:val="0"/>
      <w:marTop w:val="0"/>
      <w:marBottom w:val="0"/>
      <w:divBdr>
        <w:top w:val="none" w:sz="0" w:space="0" w:color="auto"/>
        <w:left w:val="none" w:sz="0" w:space="0" w:color="auto"/>
        <w:bottom w:val="none" w:sz="0" w:space="0" w:color="auto"/>
        <w:right w:val="none" w:sz="0" w:space="0" w:color="auto"/>
      </w:divBdr>
      <w:divsChild>
        <w:div w:id="1753312653">
          <w:marLeft w:val="0"/>
          <w:marRight w:val="0"/>
          <w:marTop w:val="0"/>
          <w:marBottom w:val="0"/>
          <w:divBdr>
            <w:top w:val="none" w:sz="0" w:space="0" w:color="auto"/>
            <w:left w:val="none" w:sz="0" w:space="0" w:color="auto"/>
            <w:bottom w:val="none" w:sz="0" w:space="0" w:color="auto"/>
            <w:right w:val="none" w:sz="0" w:space="0" w:color="auto"/>
          </w:divBdr>
        </w:div>
        <w:div w:id="1687370454">
          <w:marLeft w:val="0"/>
          <w:marRight w:val="0"/>
          <w:marTop w:val="0"/>
          <w:marBottom w:val="0"/>
          <w:divBdr>
            <w:top w:val="none" w:sz="0" w:space="0" w:color="auto"/>
            <w:left w:val="none" w:sz="0" w:space="0" w:color="auto"/>
            <w:bottom w:val="none" w:sz="0" w:space="0" w:color="auto"/>
            <w:right w:val="none" w:sz="0" w:space="0" w:color="auto"/>
          </w:divBdr>
        </w:div>
        <w:div w:id="1013655392">
          <w:marLeft w:val="0"/>
          <w:marRight w:val="0"/>
          <w:marTop w:val="0"/>
          <w:marBottom w:val="0"/>
          <w:divBdr>
            <w:top w:val="none" w:sz="0" w:space="0" w:color="auto"/>
            <w:left w:val="none" w:sz="0" w:space="0" w:color="auto"/>
            <w:bottom w:val="none" w:sz="0" w:space="0" w:color="auto"/>
            <w:right w:val="none" w:sz="0" w:space="0" w:color="auto"/>
          </w:divBdr>
        </w:div>
        <w:div w:id="781921544">
          <w:marLeft w:val="0"/>
          <w:marRight w:val="0"/>
          <w:marTop w:val="0"/>
          <w:marBottom w:val="0"/>
          <w:divBdr>
            <w:top w:val="none" w:sz="0" w:space="0" w:color="auto"/>
            <w:left w:val="none" w:sz="0" w:space="0" w:color="auto"/>
            <w:bottom w:val="none" w:sz="0" w:space="0" w:color="auto"/>
            <w:right w:val="none" w:sz="0" w:space="0" w:color="auto"/>
          </w:divBdr>
        </w:div>
        <w:div w:id="573593178">
          <w:marLeft w:val="0"/>
          <w:marRight w:val="0"/>
          <w:marTop w:val="0"/>
          <w:marBottom w:val="0"/>
          <w:divBdr>
            <w:top w:val="none" w:sz="0" w:space="0" w:color="auto"/>
            <w:left w:val="none" w:sz="0" w:space="0" w:color="auto"/>
            <w:bottom w:val="none" w:sz="0" w:space="0" w:color="auto"/>
            <w:right w:val="none" w:sz="0" w:space="0" w:color="auto"/>
          </w:divBdr>
        </w:div>
        <w:div w:id="1454443871">
          <w:marLeft w:val="0"/>
          <w:marRight w:val="0"/>
          <w:marTop w:val="0"/>
          <w:marBottom w:val="0"/>
          <w:divBdr>
            <w:top w:val="none" w:sz="0" w:space="0" w:color="auto"/>
            <w:left w:val="none" w:sz="0" w:space="0" w:color="auto"/>
            <w:bottom w:val="none" w:sz="0" w:space="0" w:color="auto"/>
            <w:right w:val="none" w:sz="0" w:space="0" w:color="auto"/>
          </w:divBdr>
        </w:div>
        <w:div w:id="101918487">
          <w:marLeft w:val="0"/>
          <w:marRight w:val="0"/>
          <w:marTop w:val="0"/>
          <w:marBottom w:val="0"/>
          <w:divBdr>
            <w:top w:val="none" w:sz="0" w:space="0" w:color="auto"/>
            <w:left w:val="none" w:sz="0" w:space="0" w:color="auto"/>
            <w:bottom w:val="none" w:sz="0" w:space="0" w:color="auto"/>
            <w:right w:val="none" w:sz="0" w:space="0" w:color="auto"/>
          </w:divBdr>
        </w:div>
        <w:div w:id="1142042077">
          <w:marLeft w:val="0"/>
          <w:marRight w:val="0"/>
          <w:marTop w:val="0"/>
          <w:marBottom w:val="0"/>
          <w:divBdr>
            <w:top w:val="none" w:sz="0" w:space="0" w:color="auto"/>
            <w:left w:val="none" w:sz="0" w:space="0" w:color="auto"/>
            <w:bottom w:val="none" w:sz="0" w:space="0" w:color="auto"/>
            <w:right w:val="none" w:sz="0" w:space="0" w:color="auto"/>
          </w:divBdr>
        </w:div>
        <w:div w:id="419564396">
          <w:marLeft w:val="0"/>
          <w:marRight w:val="0"/>
          <w:marTop w:val="0"/>
          <w:marBottom w:val="0"/>
          <w:divBdr>
            <w:top w:val="none" w:sz="0" w:space="0" w:color="auto"/>
            <w:left w:val="none" w:sz="0" w:space="0" w:color="auto"/>
            <w:bottom w:val="none" w:sz="0" w:space="0" w:color="auto"/>
            <w:right w:val="none" w:sz="0" w:space="0" w:color="auto"/>
          </w:divBdr>
        </w:div>
        <w:div w:id="1280334164">
          <w:marLeft w:val="0"/>
          <w:marRight w:val="0"/>
          <w:marTop w:val="0"/>
          <w:marBottom w:val="0"/>
          <w:divBdr>
            <w:top w:val="none" w:sz="0" w:space="0" w:color="auto"/>
            <w:left w:val="none" w:sz="0" w:space="0" w:color="auto"/>
            <w:bottom w:val="none" w:sz="0" w:space="0" w:color="auto"/>
            <w:right w:val="none" w:sz="0" w:space="0" w:color="auto"/>
          </w:divBdr>
        </w:div>
        <w:div w:id="217713484">
          <w:marLeft w:val="0"/>
          <w:marRight w:val="0"/>
          <w:marTop w:val="0"/>
          <w:marBottom w:val="0"/>
          <w:divBdr>
            <w:top w:val="none" w:sz="0" w:space="0" w:color="auto"/>
            <w:left w:val="none" w:sz="0" w:space="0" w:color="auto"/>
            <w:bottom w:val="none" w:sz="0" w:space="0" w:color="auto"/>
            <w:right w:val="none" w:sz="0" w:space="0" w:color="auto"/>
          </w:divBdr>
        </w:div>
      </w:divsChild>
    </w:div>
    <w:div w:id="20553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app.powerbi.com/view?r=eyJrIjoiODQxNTNjYmEtOWVmZi00OGM5LWI4MzAtODdjNjI1N2I3NjYwIiwidCI6IjM3MTE3OWI1LWM4YTAtNDNiZS04MDgzLTk1YmFiMjZiYzY1MCIsImMiOjR9"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93CD236BAA742910E82C87F7ECD48" ma:contentTypeVersion="20" ma:contentTypeDescription="Create a new document." ma:contentTypeScope="" ma:versionID="80dba19050471b25cc35e5dd418d48ad">
  <xsd:schema xmlns:xsd="http://www.w3.org/2001/XMLSchema" xmlns:xs="http://www.w3.org/2001/XMLSchema" xmlns:p="http://schemas.microsoft.com/office/2006/metadata/properties" xmlns:ns2="e3002164-9d82-4cec-b1f6-38e4bb70169b" xmlns:ns3="938ba8ec-da9b-47b8-b2cb-0acb90a3b189" targetNamespace="http://schemas.microsoft.com/office/2006/metadata/properties" ma:root="true" ma:fieldsID="613a941ed299df6f371fa4442ded1893" ns2:_="" ns3:_="">
    <xsd:import namespace="e3002164-9d82-4cec-b1f6-38e4bb70169b"/>
    <xsd:import namespace="938ba8ec-da9b-47b8-b2cb-0acb90a3b1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2164-9d82-4cec-b1f6-38e4bb7016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217d62-6910-4f4d-bc78-68fc93665bc5}" ma:internalName="TaxCatchAll" ma:showField="CatchAllData" ma:web="e3002164-9d82-4cec-b1f6-38e4bb7016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ba8ec-da9b-47b8-b2cb-0acb90a3b1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9ab8b6-9d30-47d7-bbb6-b53186be7e6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8ba8ec-da9b-47b8-b2cb-0acb90a3b189">
      <Terms xmlns="http://schemas.microsoft.com/office/infopath/2007/PartnerControls"/>
    </lcf76f155ced4ddcb4097134ff3c332f>
    <TaxCatchAll xmlns="e3002164-9d82-4cec-b1f6-38e4bb70169b" xsi:nil="true"/>
    <_Flow_SignoffStatus xmlns="938ba8ec-da9b-47b8-b2cb-0acb90a3b189" xsi:nil="true"/>
  </documentManagement>
</p:properties>
</file>

<file path=customXml/itemProps1.xml><?xml version="1.0" encoding="utf-8"?>
<ds:datastoreItem xmlns:ds="http://schemas.openxmlformats.org/officeDocument/2006/customXml" ds:itemID="{36693C46-5F10-49B7-A4E2-96A827D45BA2}"/>
</file>

<file path=customXml/itemProps2.xml><?xml version="1.0" encoding="utf-8"?>
<ds:datastoreItem xmlns:ds="http://schemas.openxmlformats.org/officeDocument/2006/customXml" ds:itemID="{9214B038-B816-4CC1-B662-73E5ED4D0FFC}"/>
</file>

<file path=customXml/itemProps3.xml><?xml version="1.0" encoding="utf-8"?>
<ds:datastoreItem xmlns:ds="http://schemas.openxmlformats.org/officeDocument/2006/customXml" ds:itemID="{44C40858-D5AA-416D-A732-F2CC4F9945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AURA ELENA SUAREZ ALFONSO</dc:creator>
  <keywords/>
  <dc:description/>
  <lastModifiedBy>JUAN FERNANDO CONTRERAS ORTIZ</lastModifiedBy>
  <revision>7</revision>
  <dcterms:created xsi:type="dcterms:W3CDTF">2025-12-12T02:22:00.0000000Z</dcterms:created>
  <dcterms:modified xsi:type="dcterms:W3CDTF">2025-12-16T14:48:13.8771113Z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0x01010081993CD236BAA742910E82C87F7ECD48</vt:lpwstr>
  </property>
  <property fmtid="{D5CDD505-2E9C-101B-9397-08002B2CF9AE}" pid="3" name="MediaServiceImageTags">
    <vt:lpwstr/>
  </property>
</Properties>
</file>